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19E84E" w14:textId="63D59198" w:rsidR="00D5055F" w:rsidRPr="00D5055F" w:rsidRDefault="00D5055F" w:rsidP="00D5055F">
      <w:pPr>
        <w:pStyle w:val="OZNPROJEKTUwskazaniedatylubwersjiprojektu"/>
      </w:pPr>
      <w:r w:rsidRPr="00D5055F">
        <w:t xml:space="preserve">Projekt z dnia </w:t>
      </w:r>
      <w:r w:rsidR="00DE0C54">
        <w:t>30</w:t>
      </w:r>
      <w:r w:rsidR="00F05990" w:rsidRPr="00D5055F">
        <w:t xml:space="preserve"> </w:t>
      </w:r>
      <w:r w:rsidRPr="00D5055F">
        <w:t>marca 2026 r.</w:t>
      </w:r>
    </w:p>
    <w:p w14:paraId="42F1ED99" w14:textId="77777777" w:rsidR="00D5055F" w:rsidRPr="00D5055F" w:rsidRDefault="00D5055F" w:rsidP="00D5055F">
      <w:pPr>
        <w:pStyle w:val="OZNPROJEKTUwskazaniedatylubwersjiprojektu"/>
      </w:pPr>
      <w:r w:rsidRPr="00D5055F">
        <w:t>ETAP: Komitet do spraw Cyfryzacji</w:t>
      </w:r>
    </w:p>
    <w:p w14:paraId="5634EAC3" w14:textId="77777777" w:rsidR="00D5055F" w:rsidRPr="00D5055F" w:rsidRDefault="00D5055F" w:rsidP="00D5055F">
      <w:pPr>
        <w:pStyle w:val="OZNRODZAKTUtznustawalubrozporzdzenieiorganwydajcy"/>
      </w:pPr>
      <w:r w:rsidRPr="00D5055F">
        <w:t>USTAWA</w:t>
      </w:r>
    </w:p>
    <w:p w14:paraId="471F0F0F" w14:textId="77777777" w:rsidR="00D5055F" w:rsidRPr="00D5055F" w:rsidRDefault="00D5055F" w:rsidP="00D5055F">
      <w:pPr>
        <w:pStyle w:val="DATAAKTUdatauchwalenialubwydaniaaktu"/>
      </w:pPr>
      <w:r w:rsidRPr="00D5055F">
        <w:t>z dnia …………………r.</w:t>
      </w:r>
    </w:p>
    <w:p w14:paraId="0D919296" w14:textId="4C948556" w:rsidR="00D5055F" w:rsidRPr="00D5055F" w:rsidRDefault="00D5055F" w:rsidP="00D5055F">
      <w:pPr>
        <w:pStyle w:val="TYTUAKTUprzedmiotregulacjiustawylubrozporzdzenia"/>
      </w:pPr>
      <w:r w:rsidRPr="00D5055F">
        <w:t>o zmianie ustawy o Krajowym Rejestrze Sądowym oraz niektórych innych ustaw</w:t>
      </w:r>
      <w:r>
        <w:rPr>
          <w:rStyle w:val="Odwoanieprzypisudolnego"/>
        </w:rPr>
        <w:footnoteReference w:id="1"/>
      </w:r>
      <w:r>
        <w:rPr>
          <w:rStyle w:val="IGindeksgrny"/>
        </w:rPr>
        <w:t>)</w:t>
      </w:r>
    </w:p>
    <w:p w14:paraId="24B139B1" w14:textId="77777777" w:rsidR="00D5055F" w:rsidRPr="00D5055F" w:rsidRDefault="00D5055F" w:rsidP="00D5055F">
      <w:pPr>
        <w:pStyle w:val="ARTartustawynprozporzdzenia"/>
      </w:pPr>
      <w:bookmarkStart w:id="0" w:name="_Hlk125465482"/>
      <w:bookmarkStart w:id="1" w:name="_Hlk208847929"/>
      <w:r w:rsidRPr="00D5055F">
        <w:rPr>
          <w:rStyle w:val="Ppogrubienie"/>
        </w:rPr>
        <w:t>Art. 1.</w:t>
      </w:r>
      <w:bookmarkEnd w:id="0"/>
      <w:r w:rsidRPr="00D5055F">
        <w:rPr>
          <w:rStyle w:val="Ppogrubienie"/>
        </w:rPr>
        <w:t xml:space="preserve"> </w:t>
      </w:r>
      <w:r w:rsidRPr="00D5055F">
        <w:t>W ustawie z dnia 20 sierpnia 1997 r. o Krajowym Rejestrze Sądowym (Dz. U. z 2025 r. poz. 869, 1556 i 1792 oraz z 2026 r. poz. 119) wprowadza się następujące zmiany:</w:t>
      </w:r>
    </w:p>
    <w:p w14:paraId="3DFF13CB" w14:textId="77777777" w:rsidR="00D5055F" w:rsidRPr="00D5055F" w:rsidRDefault="00D5055F" w:rsidP="00D5055F">
      <w:pPr>
        <w:pStyle w:val="PKTpunkt"/>
      </w:pPr>
      <w:r w:rsidRPr="00D5055F">
        <w:t>1)</w:t>
      </w:r>
      <w:r w:rsidRPr="00D5055F">
        <w:tab/>
        <w:t>w art. 3a uchyla się ust. 3;</w:t>
      </w:r>
      <w:bookmarkStart w:id="2" w:name="_Hlk124842878"/>
      <w:r w:rsidRPr="00D5055F">
        <w:t xml:space="preserve"> </w:t>
      </w:r>
      <w:bookmarkEnd w:id="2"/>
    </w:p>
    <w:p w14:paraId="7DA71A13" w14:textId="77777777" w:rsidR="00D5055F" w:rsidRPr="00D5055F" w:rsidRDefault="00D5055F" w:rsidP="00D5055F">
      <w:pPr>
        <w:pStyle w:val="PKTpunkt"/>
      </w:pPr>
      <w:bookmarkStart w:id="3" w:name="_Hlk208847967"/>
      <w:r w:rsidRPr="00D5055F">
        <w:t>2)</w:t>
      </w:r>
      <w:r w:rsidRPr="00D5055F">
        <w:tab/>
        <w:t>w art. 9:</w:t>
      </w:r>
    </w:p>
    <w:p w14:paraId="0EA0481C" w14:textId="77777777" w:rsidR="00D5055F" w:rsidRPr="00D5055F" w:rsidRDefault="00D5055F" w:rsidP="00D5055F">
      <w:pPr>
        <w:pStyle w:val="LITlitera"/>
      </w:pPr>
      <w:r w:rsidRPr="00D5055F">
        <w:t>a)</w:t>
      </w:r>
      <w:r w:rsidRPr="00D5055F">
        <w:tab/>
      </w:r>
      <w:bookmarkStart w:id="4" w:name="_Hlk124842933"/>
      <w:r w:rsidRPr="00D5055F">
        <w:t>po ust. 1a dodaje się ust. 1b w brzmieniu:</w:t>
      </w:r>
    </w:p>
    <w:p w14:paraId="35FB21BB" w14:textId="77777777" w:rsidR="00D5055F" w:rsidRPr="00D5055F" w:rsidRDefault="00D5055F" w:rsidP="00D5055F">
      <w:pPr>
        <w:pStyle w:val="ZLITUSTzmustliter"/>
      </w:pPr>
      <w:bookmarkStart w:id="5" w:name="_Hlk135231494"/>
      <w:r w:rsidRPr="00D5055F">
        <w:t>„1b. Do chwili wpisu podmiotu do Rejestru dokumenty w postaci papierowej przechowuje się w zbiorze dokumentów akt sprawy rozpoznawanej.”,</w:t>
      </w:r>
    </w:p>
    <w:bookmarkEnd w:id="5"/>
    <w:p w14:paraId="7E49C850" w14:textId="77777777" w:rsidR="00D5055F" w:rsidRPr="00D5055F" w:rsidRDefault="00D5055F" w:rsidP="00D5055F">
      <w:pPr>
        <w:pStyle w:val="LITlitera"/>
      </w:pPr>
      <w:r w:rsidRPr="00D5055F">
        <w:t>b)</w:t>
      </w:r>
      <w:r w:rsidRPr="00D5055F">
        <w:tab/>
        <w:t>w ust. 6 zdanie drugie otrzymuje brzmienie:</w:t>
      </w:r>
    </w:p>
    <w:p w14:paraId="6F96ACE8" w14:textId="77777777" w:rsidR="00D5055F" w:rsidRPr="00D5055F" w:rsidRDefault="00D5055F" w:rsidP="00D5055F">
      <w:pPr>
        <w:pStyle w:val="ZLITFRAGzmlitfragmentunpzdanialiter"/>
      </w:pPr>
      <w:bookmarkStart w:id="6" w:name="_Hlk135231623"/>
      <w:r w:rsidRPr="00D5055F">
        <w:t>„Do zbioru dokumentów dołącza się akta rejestrowe podmiotu prowadzone w postaci papierowej lub zbiór dokumentów akt sprawy rozpoznawanej.</w:t>
      </w:r>
      <w:bookmarkStart w:id="7" w:name="_Hlk135231807"/>
      <w:bookmarkEnd w:id="6"/>
      <w:r w:rsidRPr="00D5055F">
        <w:t>”;</w:t>
      </w:r>
      <w:bookmarkEnd w:id="4"/>
    </w:p>
    <w:p w14:paraId="02742643" w14:textId="77777777" w:rsidR="00D5055F" w:rsidRPr="00D5055F" w:rsidRDefault="00D5055F" w:rsidP="00D5055F">
      <w:pPr>
        <w:pStyle w:val="PKTpunkt"/>
      </w:pPr>
      <w:bookmarkStart w:id="8" w:name="_Hlk208848453"/>
      <w:bookmarkEnd w:id="1"/>
      <w:bookmarkEnd w:id="3"/>
      <w:r w:rsidRPr="00D5055F">
        <w:t>3)</w:t>
      </w:r>
      <w:r w:rsidRPr="00D5055F">
        <w:tab/>
        <w:t xml:space="preserve">w art. 9a ust. 2 otrzymuje brzmienie: </w:t>
      </w:r>
    </w:p>
    <w:p w14:paraId="3CEC940F" w14:textId="055CA3D5" w:rsidR="00D5055F" w:rsidRPr="00D5055F" w:rsidRDefault="00D5055F" w:rsidP="00D5055F">
      <w:pPr>
        <w:pStyle w:val="ZUSTzmustartykuempunktem"/>
      </w:pPr>
      <w:r w:rsidRPr="00D5055F">
        <w:t>„2. Do repozytorium dokumentów finansowych są składane dokumenty, które na podstawie przepisów ustawy z dnia 29 września 1994 r. o rachunkowości (Dz. U. z 2023 r. poz. 120, z późn. zm.</w:t>
      </w:r>
      <w:r>
        <w:rPr>
          <w:rStyle w:val="Odwoanieprzypisudolnego"/>
        </w:rPr>
        <w:footnoteReference w:id="2"/>
      </w:r>
      <w:r>
        <w:rPr>
          <w:rStyle w:val="IGindeksgrny"/>
        </w:rPr>
        <w:t>)</w:t>
      </w:r>
      <w:r w:rsidRPr="00D5055F">
        <w:t>) podlegają złożeniu we właściwym rejestrze sądowym (dokumenty finansowe).”.</w:t>
      </w:r>
    </w:p>
    <w:bookmarkEnd w:id="7"/>
    <w:bookmarkEnd w:id="8"/>
    <w:p w14:paraId="5AF8D45F" w14:textId="77777777" w:rsidR="00D5055F" w:rsidRPr="00D5055F" w:rsidRDefault="00D5055F" w:rsidP="00D5055F">
      <w:pPr>
        <w:pStyle w:val="PKTpunkt"/>
      </w:pPr>
      <w:r w:rsidRPr="00D5055F">
        <w:t>4)</w:t>
      </w:r>
      <w:r w:rsidRPr="00D5055F">
        <w:tab/>
        <w:t>w art. 10:</w:t>
      </w:r>
    </w:p>
    <w:p w14:paraId="16F837F3" w14:textId="77777777" w:rsidR="00D5055F" w:rsidRPr="00D5055F" w:rsidRDefault="00D5055F" w:rsidP="00D5055F">
      <w:pPr>
        <w:pStyle w:val="LITlitera"/>
      </w:pPr>
      <w:r w:rsidRPr="00D5055F">
        <w:t>a)</w:t>
      </w:r>
      <w:r w:rsidRPr="00D5055F">
        <w:tab/>
        <w:t>w ust. 1 wyraz „ustawa” zastępuje się wyrazem „</w:t>
      </w:r>
      <w:bookmarkStart w:id="9" w:name="_Hlk135231935"/>
      <w:r w:rsidRPr="00D5055F">
        <w:t>przepis szczególny”,</w:t>
      </w:r>
      <w:bookmarkEnd w:id="9"/>
    </w:p>
    <w:p w14:paraId="4B872D48" w14:textId="77777777" w:rsidR="00D5055F" w:rsidRPr="00D5055F" w:rsidRDefault="00D5055F" w:rsidP="00D5055F">
      <w:pPr>
        <w:pStyle w:val="LITlitera"/>
      </w:pPr>
      <w:r w:rsidRPr="00D5055F">
        <w:t>b)</w:t>
      </w:r>
      <w:r w:rsidRPr="00D5055F">
        <w:tab/>
        <w:t>ust. 4 otrzymuje brzmienie:</w:t>
      </w:r>
    </w:p>
    <w:p w14:paraId="1BE1125A" w14:textId="1D17320D" w:rsidR="00D5055F" w:rsidRPr="00D5055F" w:rsidRDefault="00D5055F" w:rsidP="00D5055F">
      <w:pPr>
        <w:pStyle w:val="ZLITUSTzmustliter"/>
      </w:pPr>
      <w:bookmarkStart w:id="10" w:name="_Hlk135232302"/>
      <w:r w:rsidRPr="00D5055F">
        <w:t>„4. Dokument stanowiący podstawę wpisu w dziale 4 rejestru przedsiębiorców, któr</w:t>
      </w:r>
      <w:r w:rsidR="003C3DA7">
        <w:t>y</w:t>
      </w:r>
      <w:r w:rsidRPr="00D5055F">
        <w:t xml:space="preserve"> został wykreślony na podstawie art. 46, udostępnia się wyłącznie przedsiębiorcy, którego ten wpis dotyczył oraz wierzycielowi, na którego wniosek </w:t>
      </w:r>
      <w:r w:rsidRPr="00D5055F">
        <w:lastRenderedPageBreak/>
        <w:t>nastąpiło wykreślenie wpisu. Jeżeli dokument taki ma postać papierową, przenosi się go do prowadzonego oddzielnie zbioru dokumentów.”,</w:t>
      </w:r>
    </w:p>
    <w:bookmarkEnd w:id="10"/>
    <w:p w14:paraId="2489CF74" w14:textId="77777777" w:rsidR="00D5055F" w:rsidRPr="00D5055F" w:rsidRDefault="00D5055F" w:rsidP="00D5055F">
      <w:pPr>
        <w:pStyle w:val="LITlitera"/>
      </w:pPr>
      <w:r w:rsidRPr="00D5055F">
        <w:t>c)</w:t>
      </w:r>
      <w:r w:rsidRPr="00D5055F">
        <w:tab/>
        <w:t xml:space="preserve">w ust. 4a w pkt 2 skreśla się przecinek i wyrazy </w:t>
      </w:r>
      <w:bookmarkStart w:id="11" w:name="_Hlk135232359"/>
      <w:r w:rsidRPr="00D5055F">
        <w:t>„jeżeli nie stanowią one podstawy rozstrzygnięcia sądu rejestrowego lub dotyczą osób, które nie podlegają wpisowi do Rejestru”,</w:t>
      </w:r>
      <w:bookmarkEnd w:id="11"/>
      <w:r w:rsidRPr="00D5055F">
        <w:t xml:space="preserve"> </w:t>
      </w:r>
    </w:p>
    <w:p w14:paraId="55E856ED" w14:textId="77777777" w:rsidR="00D5055F" w:rsidRPr="00D5055F" w:rsidRDefault="00D5055F" w:rsidP="00D5055F">
      <w:pPr>
        <w:pStyle w:val="LITlitera"/>
      </w:pPr>
      <w:r w:rsidRPr="00D5055F">
        <w:t>d)</w:t>
      </w:r>
      <w:r w:rsidRPr="00D5055F">
        <w:tab/>
        <w:t>dodaje się ust. 7 w brzmieniu:</w:t>
      </w:r>
    </w:p>
    <w:p w14:paraId="4D5BAE5E" w14:textId="77777777" w:rsidR="00D5055F" w:rsidRPr="00D5055F" w:rsidRDefault="00D5055F" w:rsidP="00D5055F">
      <w:pPr>
        <w:pStyle w:val="ZLITUSTzmustliter"/>
      </w:pPr>
      <w:bookmarkStart w:id="12" w:name="_Hlk135232514"/>
      <w:r w:rsidRPr="00D5055F">
        <w:t>„7. Przepis ust. 6 zdanie drugie stosuje się odpowiednio do zbioru dokumentów, o którym mowa w art. 9 ust. 6.”;</w:t>
      </w:r>
      <w:bookmarkStart w:id="13" w:name="_Hlk152072873"/>
      <w:bookmarkEnd w:id="12"/>
    </w:p>
    <w:bookmarkEnd w:id="13"/>
    <w:p w14:paraId="513D380B" w14:textId="77777777" w:rsidR="00D5055F" w:rsidRPr="00D5055F" w:rsidRDefault="00D5055F" w:rsidP="00D5055F">
      <w:pPr>
        <w:pStyle w:val="PKTpunkt"/>
      </w:pPr>
      <w:r w:rsidRPr="00D5055F">
        <w:t>5)</w:t>
      </w:r>
      <w:r w:rsidRPr="00D5055F">
        <w:tab/>
        <w:t>w art. 19:</w:t>
      </w:r>
    </w:p>
    <w:p w14:paraId="2620906E" w14:textId="17B99662" w:rsidR="009B403C" w:rsidRDefault="00D5055F" w:rsidP="00D5055F">
      <w:pPr>
        <w:pStyle w:val="LITlitera"/>
      </w:pPr>
      <w:r w:rsidRPr="00D5055F">
        <w:t>a)</w:t>
      </w:r>
      <w:r w:rsidRPr="00D5055F">
        <w:tab/>
      </w:r>
      <w:r w:rsidR="009B403C">
        <w:t>ust. 2 otrzymuje brzmienie:</w:t>
      </w:r>
    </w:p>
    <w:p w14:paraId="18CD363C" w14:textId="2FE3826D" w:rsidR="009B403C" w:rsidRDefault="009B403C" w:rsidP="00E92E83">
      <w:pPr>
        <w:pStyle w:val="ZLITUSTzmustliter"/>
      </w:pPr>
      <w:r w:rsidRPr="009B403C">
        <w:t>„</w:t>
      </w:r>
      <w:r>
        <w:t xml:space="preserve">2. </w:t>
      </w:r>
      <w:r w:rsidRPr="009B403C">
        <w:t xml:space="preserve">Wnioski lub </w:t>
      </w:r>
      <w:r w:rsidR="003A7D5D">
        <w:t xml:space="preserve">inne </w:t>
      </w:r>
      <w:r w:rsidRPr="009B403C">
        <w:t xml:space="preserve">pisma </w:t>
      </w:r>
      <w:r w:rsidR="00BD06F1">
        <w:t xml:space="preserve">procesowe </w:t>
      </w:r>
      <w:r w:rsidRPr="009B403C">
        <w:t>dotyczące podmiotu podlegającego obowiązkowi wpisu do rejestru, o którym mowa w art. 1 ust. 2 pkt 1, lub do rejestru, o którym mowa w art. 1 ust. 2 pkt 2, składa się wyłącznie za pośrednictwem systemu teleinformatycznego.”</w:t>
      </w:r>
      <w:r w:rsidR="00E92E83">
        <w:t>,</w:t>
      </w:r>
    </w:p>
    <w:p w14:paraId="349BED6A" w14:textId="738F341A" w:rsidR="00D5055F" w:rsidRPr="00D5055F" w:rsidRDefault="009B403C" w:rsidP="00D5055F">
      <w:pPr>
        <w:pStyle w:val="LITlitera"/>
      </w:pPr>
      <w:r>
        <w:t>b)</w:t>
      </w:r>
      <w:r>
        <w:tab/>
      </w:r>
      <w:r w:rsidR="00D5055F" w:rsidRPr="00D5055F">
        <w:t>po ust. 2 dodaje się ust. 2a i 2b w brzmieniu:</w:t>
      </w:r>
    </w:p>
    <w:p w14:paraId="5CEFD92B" w14:textId="1CCE1B95" w:rsidR="00D5055F" w:rsidRPr="00D5055F" w:rsidRDefault="00D5055F" w:rsidP="00D5055F">
      <w:pPr>
        <w:pStyle w:val="ZLITUSTzmustliter"/>
      </w:pPr>
      <w:r w:rsidRPr="00D5055F">
        <w:t>„2a. Podmiot podlegający obowiązkowi wpisu do rejestru, o którym mowa w art. 1 ust. 2 pkt 1, lub do rejestru, o którym mowa w art. 1 ust. 2 pkt 2, dla którego w systemie teleinformatycznym założono konto, o którym mowa w art. 53d ustawy z dnia 27 lipca 2001 r. – Prawo o ustroju sądów powszechnych (Dz. U. z 2024 r. poz. 334, z późn. zm.</w:t>
      </w:r>
      <w:r>
        <w:rPr>
          <w:rStyle w:val="Odwoanieprzypisudolnego"/>
        </w:rPr>
        <w:footnoteReference w:id="3"/>
      </w:r>
      <w:r>
        <w:rPr>
          <w:rStyle w:val="IGindeksgrny"/>
        </w:rPr>
        <w:t>)</w:t>
      </w:r>
      <w:r w:rsidRPr="00D5055F">
        <w:t>), składa wnioski lub inne pisma procesowe za pośrednictwem tego konta, chyba że uprawdopodobni, że złożenie wniosku lub pisma za pośrednictwem założonego dla niego konta nie było możliwe z przyczyn niezależnych od tego podmiotu.</w:t>
      </w:r>
      <w:r w:rsidR="005B7961">
        <w:t xml:space="preserve"> </w:t>
      </w:r>
      <w:r w:rsidR="005B7961" w:rsidRPr="005B7961">
        <w:t>W przypadku uprawdopodobnienia przepisu art. 694</w:t>
      </w:r>
      <w:r w:rsidR="00FB2F62">
        <w:rPr>
          <w:rStyle w:val="IGindeksgrny"/>
        </w:rPr>
        <w:t>6</w:t>
      </w:r>
      <w:r w:rsidR="005B7961" w:rsidRPr="005B7961">
        <w:t xml:space="preserve"> </w:t>
      </w:r>
      <w:r w:rsidR="00FB2F62" w:rsidRPr="00FB2F62">
        <w:t>§</w:t>
      </w:r>
      <w:r w:rsidR="005B7961" w:rsidRPr="005B7961">
        <w:t xml:space="preserve"> 4 Kodeksu postępowania cywilnego nie stosuje się.</w:t>
      </w:r>
    </w:p>
    <w:p w14:paraId="786B2268" w14:textId="4E47405D" w:rsidR="00D5055F" w:rsidRPr="00D5055F" w:rsidRDefault="00D5055F" w:rsidP="00D5055F">
      <w:pPr>
        <w:pStyle w:val="ZLITUSTzmustliter"/>
      </w:pPr>
      <w:r w:rsidRPr="00D5055F">
        <w:t>2b. Podmiot</w:t>
      </w:r>
      <w:r w:rsidR="009923A6" w:rsidRPr="009923A6">
        <w:t xml:space="preserve"> podlegający obowiązkowi wpisu do rejestru, o którym mowa w art. 1 ust. 2 pkt 1, lub do rejestru, o którym mowa w art. 1 ust. 2 pkt 2</w:t>
      </w:r>
      <w:r w:rsidRPr="00D5055F">
        <w:t xml:space="preserve">, dla którego nie założono konta w systemie teleinformatycznym, wraz z wnioskiem o wpis </w:t>
      </w:r>
      <w:r w:rsidR="00227A05">
        <w:t>lub</w:t>
      </w:r>
      <w:r w:rsidR="00227A05" w:rsidRPr="00D5055F">
        <w:t xml:space="preserve"> </w:t>
      </w:r>
      <w:r w:rsidRPr="00D5055F">
        <w:t>zmianę wpisu w Rejestrze zgłasza potrzebę założenia konta.”,</w:t>
      </w:r>
    </w:p>
    <w:p w14:paraId="4113DD2D" w14:textId="5E5114B2" w:rsidR="00D5055F" w:rsidRPr="00D5055F" w:rsidRDefault="00370470" w:rsidP="00D5055F">
      <w:pPr>
        <w:pStyle w:val="LITlitera"/>
      </w:pPr>
      <w:r>
        <w:t>c</w:t>
      </w:r>
      <w:r w:rsidR="00D5055F" w:rsidRPr="00D5055F">
        <w:t>)</w:t>
      </w:r>
      <w:r w:rsidR="00D5055F" w:rsidRPr="00D5055F">
        <w:tab/>
        <w:t>po ust. 8 dodaje się ust. 8a w brzmieniu:</w:t>
      </w:r>
    </w:p>
    <w:p w14:paraId="3218E8AE" w14:textId="33513D3F" w:rsidR="00D5055F" w:rsidRPr="00D5055F" w:rsidRDefault="00D5055F" w:rsidP="00D5055F">
      <w:pPr>
        <w:pStyle w:val="ZLITUSTzmustliter"/>
      </w:pPr>
      <w:r w:rsidRPr="00D5055F">
        <w:lastRenderedPageBreak/>
        <w:t xml:space="preserve">„8a. Wniosek lub </w:t>
      </w:r>
      <w:r w:rsidR="006E5C5B">
        <w:t xml:space="preserve">inne </w:t>
      </w:r>
      <w:r w:rsidRPr="00D5055F">
        <w:t>pismo procesowe złożone z naruszeniem ust. 2a podlega zwróceniu bez wzywania do uzupełnienia braków.</w:t>
      </w:r>
      <w:r w:rsidR="00601720">
        <w:t xml:space="preserve"> Przepisu</w:t>
      </w:r>
      <w:r w:rsidR="00601720" w:rsidRPr="00601720">
        <w:t xml:space="preserve"> art. 694</w:t>
      </w:r>
      <w:r w:rsidR="00601720" w:rsidRPr="00E92E83">
        <w:rPr>
          <w:rStyle w:val="IGindeksgrny"/>
        </w:rPr>
        <w:t>6</w:t>
      </w:r>
      <w:r w:rsidR="00601720" w:rsidRPr="00601720">
        <w:t xml:space="preserve"> § 4 Kodeksu postępowania cywilnego nie stosuje się</w:t>
      </w:r>
      <w:r w:rsidR="00A41BA1">
        <w:t>.</w:t>
      </w:r>
      <w:r w:rsidRPr="00D5055F">
        <w:t>”,</w:t>
      </w:r>
    </w:p>
    <w:p w14:paraId="00A3332E" w14:textId="06DD28E6" w:rsidR="00D5055F" w:rsidRPr="00D5055F" w:rsidRDefault="00370470" w:rsidP="00D5055F">
      <w:pPr>
        <w:pStyle w:val="LITlitera"/>
      </w:pPr>
      <w:r>
        <w:t>d</w:t>
      </w:r>
      <w:r w:rsidR="00D5055F" w:rsidRPr="00D5055F">
        <w:t>)</w:t>
      </w:r>
      <w:r w:rsidR="00D5055F" w:rsidRPr="00D5055F">
        <w:tab/>
        <w:t>w ust. 10 zdanie pierwsze otrzymuje brzmienie:</w:t>
      </w:r>
    </w:p>
    <w:p w14:paraId="0FEF28A2" w14:textId="62BCCB7A" w:rsidR="00D5055F" w:rsidRPr="00D5055F" w:rsidRDefault="00D5055F" w:rsidP="00E92E83">
      <w:pPr>
        <w:pStyle w:val="ZLITFRAGzmlitfragmentunpzdanialiter"/>
      </w:pPr>
      <w:r w:rsidRPr="00D5055F">
        <w:t xml:space="preserve">„W razie zwrócenia wniosku </w:t>
      </w:r>
      <w:r w:rsidR="00C2237F">
        <w:t xml:space="preserve">lub innego pisma procesowego </w:t>
      </w:r>
      <w:r w:rsidRPr="00D5055F">
        <w:t>zgodnie z ust. 7-8a mo</w:t>
      </w:r>
      <w:r w:rsidR="00C2237F">
        <w:t>gą</w:t>
      </w:r>
      <w:r w:rsidRPr="00D5055F">
        <w:t xml:space="preserve">  być </w:t>
      </w:r>
      <w:r w:rsidR="00C2237F">
        <w:t xml:space="preserve">one </w:t>
      </w:r>
      <w:r w:rsidRPr="00D5055F">
        <w:t>ponownie złożon</w:t>
      </w:r>
      <w:r w:rsidR="00C2237F">
        <w:t>e</w:t>
      </w:r>
      <w:r w:rsidRPr="00D5055F">
        <w:t xml:space="preserve"> w terminie 7 dni od daty doręczenia zarządzenia o zwrocie.”.</w:t>
      </w:r>
    </w:p>
    <w:p w14:paraId="64F675D0" w14:textId="77777777" w:rsidR="00D5055F" w:rsidRPr="00D5055F" w:rsidRDefault="00D5055F" w:rsidP="00D5055F">
      <w:pPr>
        <w:pStyle w:val="PKTpunkt"/>
      </w:pPr>
      <w:r w:rsidRPr="00D5055F">
        <w:t>6)</w:t>
      </w:r>
      <w:r w:rsidRPr="00D5055F">
        <w:tab/>
        <w:t>po art. 19a dodaje się art. 19aa i art. 19ab w brzmieniu:</w:t>
      </w:r>
    </w:p>
    <w:p w14:paraId="5E12A349" w14:textId="77777777" w:rsidR="00D5055F" w:rsidRPr="00D5055F" w:rsidRDefault="00D5055F" w:rsidP="00D5055F">
      <w:pPr>
        <w:pStyle w:val="ZARTzmartartykuempunktem"/>
      </w:pPr>
      <w:bookmarkStart w:id="14" w:name="_Hlk135241983"/>
      <w:r w:rsidRPr="00D5055F">
        <w:t>„</w:t>
      </w:r>
      <w:bookmarkStart w:id="15" w:name="_Hlk114074516"/>
      <w:r w:rsidRPr="00D5055F">
        <w:t>Art. 19aa. 1. Do pisma procesowego lub załączonego do niego dokumentu zawierającego dane osobowe lub inne dane, których prawo przeglądania jest ograniczone na podstawie przepisu szczególnego, dołącza się wyciąg z tego pisma procesowego lub dokumentu z pominięciem tych danych</w:t>
      </w:r>
      <w:bookmarkEnd w:id="15"/>
      <w:r w:rsidRPr="00D5055F">
        <w:t xml:space="preserve">. </w:t>
      </w:r>
    </w:p>
    <w:p w14:paraId="0C0F0D47" w14:textId="77777777" w:rsidR="00D5055F" w:rsidRPr="00D5055F" w:rsidRDefault="00D5055F" w:rsidP="00D5055F">
      <w:pPr>
        <w:pStyle w:val="ZUSTzmustartykuempunktem"/>
      </w:pPr>
      <w:r w:rsidRPr="00D5055F">
        <w:t>2. Jeżeli do pisma procesowego lub załączonego do niego dokumentu, o których mowa w ust. 1, nie dołączono wyciągu z tego pisma procesowego lub dokumentu z pominięciem danych osobowych lub innych danych, których prawo przeglądania jest ograniczone na podstawie przepisu szczególnego albo dane te nie zostały w dołączonym wyciągu pominięte, stosuje się odpowiednio przepisy art. 130 § 1-4 Kodeksu postępowania cywilnego.</w:t>
      </w:r>
    </w:p>
    <w:p w14:paraId="387D0388" w14:textId="77777777" w:rsidR="00D5055F" w:rsidRPr="00D5055F" w:rsidRDefault="00D5055F" w:rsidP="00D5055F">
      <w:pPr>
        <w:pStyle w:val="ZARTzmartartykuempunktem"/>
      </w:pPr>
      <w:bookmarkStart w:id="16" w:name="_Hlk166084285"/>
      <w:r w:rsidRPr="00D5055F">
        <w:t>Art. 19ab. 1. Podmiot podlegający obowiązkowi wpisu do rejestru, o którym mowa w art. 1 ust. 2 pkt 1, lub do rejestru, o którym mowa w art. 1 ust. 2 pkt 2, jest obowiązany posiadać tytuł prawny do korzystania z lokalu (nieruchomości), którego adres zgłosił do Rejestru jako adres siedziby.</w:t>
      </w:r>
    </w:p>
    <w:p w14:paraId="2EFD4EBA" w14:textId="2BF2EFF4" w:rsidR="00D5055F" w:rsidRPr="00D5055F" w:rsidRDefault="00D5055F" w:rsidP="00D5055F">
      <w:pPr>
        <w:pStyle w:val="ZARTzmartartykuempunktem"/>
      </w:pPr>
      <w:r w:rsidRPr="00D5055F">
        <w:t>2. Do wniosku o wpis lub zmianę adresu siedziby należy dołączyć dokument, z którego wynika tytuł prawny do korzystania z lokalu (nieruchomości), którego adres podmiot zgłosił jako adres siedziby. Przepisu art. 694</w:t>
      </w:r>
      <w:r w:rsidRPr="00D5055F">
        <w:rPr>
          <w:rStyle w:val="IGindeksgrny"/>
        </w:rPr>
        <w:t xml:space="preserve">4 </w:t>
      </w:r>
      <w:r w:rsidRPr="00D5055F">
        <w:t>§ 2</w:t>
      </w:r>
      <w:r w:rsidRPr="00D5055F">
        <w:rPr>
          <w:rStyle w:val="IGindeksgrny"/>
        </w:rPr>
        <w:t>3</w:t>
      </w:r>
      <w:r w:rsidRPr="00D5055F">
        <w:t xml:space="preserve"> Kodeksu postępowania cywilnego nie stosuje się.</w:t>
      </w:r>
      <w:r w:rsidR="003F012C" w:rsidRPr="003F012C">
        <w:t>”;</w:t>
      </w:r>
    </w:p>
    <w:bookmarkEnd w:id="14"/>
    <w:bookmarkEnd w:id="16"/>
    <w:p w14:paraId="1986327B" w14:textId="77777777" w:rsidR="00D5055F" w:rsidRPr="00D5055F" w:rsidRDefault="00D5055F" w:rsidP="00D5055F">
      <w:pPr>
        <w:pStyle w:val="PKTpunkt"/>
      </w:pPr>
      <w:r w:rsidRPr="00D5055F">
        <w:t>7)</w:t>
      </w:r>
      <w:r w:rsidRPr="00D5055F">
        <w:tab/>
        <w:t>art. 19c otrzymuje brzmienie:</w:t>
      </w:r>
    </w:p>
    <w:p w14:paraId="4C4B554D" w14:textId="77777777" w:rsidR="00D5055F" w:rsidRPr="00D5055F" w:rsidRDefault="00D5055F" w:rsidP="00D5055F">
      <w:pPr>
        <w:pStyle w:val="ZARTzmartartykuempunktem"/>
      </w:pPr>
      <w:bookmarkStart w:id="17" w:name="_Hlk124944724"/>
      <w:bookmarkStart w:id="18" w:name="_Hlk135242219"/>
      <w:r w:rsidRPr="00D5055F">
        <w:t xml:space="preserve">„Art. 19c. 1. We wniosku o wpis lub zmianę wpisu w rejestrze, o którym mowa w art. 1 ust. 2 pkt 1, dotyczącym nabycia lub objęcia udziałów, akcji lub ogółu praw i obowiązków oraz w przypadku złożenia do akt rejestrowych dokumentów zawierających informacje o zmianach wspólników spółki, wnioskodawca zamieszcza oświadczenie, czy nabywca lub obejmujący udziały, akcje lub ogół </w:t>
      </w:r>
      <w:bookmarkEnd w:id="17"/>
      <w:r w:rsidRPr="00D5055F">
        <w:t xml:space="preserve">praw i obowiązków jest cudzoziemcem </w:t>
      </w:r>
      <w:r w:rsidRPr="00D5055F">
        <w:lastRenderedPageBreak/>
        <w:t xml:space="preserve">w rozumieniu ustawy z dnia 24 marca 1920 r. o nabywaniu nieruchomości przez cudzoziemców (Dz. U. z 2017 r. poz. 2278). </w:t>
      </w:r>
    </w:p>
    <w:p w14:paraId="011442CB" w14:textId="77777777" w:rsidR="00D5055F" w:rsidRPr="00D5055F" w:rsidRDefault="00D5055F" w:rsidP="00D5055F">
      <w:pPr>
        <w:pStyle w:val="ZUSTzmustartykuempunktem"/>
      </w:pPr>
      <w:r w:rsidRPr="00D5055F">
        <w:t>2. W przypadku, gdy nabywca lub obejmujący udziały, akcje lub ogół praw i obowiązków, posiada status cudzoziemca w rozumieniu ustawy z dnia 24 marca 1920 r. o nabywaniu nieruchomości przez cudzoziemców, wnioskodawca we wnioskach, o których mowa w ust. 1, zamieszcza także oświadczenie, czy spółka, której wniosek dotyczy, jest lub z chwilą dokonania wpisu stanie się właścicielem lub wieczystym użytkownikiem nieruchomości położonych na terytorium Rzeczypospolitej Polskiej.”;</w:t>
      </w:r>
    </w:p>
    <w:p w14:paraId="015314BB" w14:textId="77777777" w:rsidR="00D5055F" w:rsidRPr="00D5055F" w:rsidRDefault="00D5055F" w:rsidP="00D5055F">
      <w:pPr>
        <w:pStyle w:val="PKTpunkt"/>
      </w:pPr>
      <w:bookmarkStart w:id="19" w:name="_Hlk208848500"/>
      <w:r w:rsidRPr="00D5055F">
        <w:t>8)</w:t>
      </w:r>
      <w:r w:rsidRPr="00D5055F">
        <w:tab/>
        <w:t>w art. 19e ust. 1 otrzymuje brzmienie:</w:t>
      </w:r>
    </w:p>
    <w:p w14:paraId="6B4EF923" w14:textId="77777777" w:rsidR="00D5055F" w:rsidRPr="00D5055F" w:rsidRDefault="00D5055F" w:rsidP="00D5055F">
      <w:pPr>
        <w:pStyle w:val="ZUSTzmustartykuempunktem"/>
      </w:pPr>
      <w:r w:rsidRPr="00D5055F">
        <w:t>„1. Złożenie dokumentów finansowych do repozytorium dokumentów finansowych następuje przez zgłoszenie za pośrednictwem systemu teleinformatycznego udostępnionego do tego celu przez Ministra Sprawiedliwości.”;</w:t>
      </w:r>
      <w:bookmarkEnd w:id="18"/>
    </w:p>
    <w:bookmarkEnd w:id="19"/>
    <w:p w14:paraId="4FB8A9B0" w14:textId="77777777" w:rsidR="00D5055F" w:rsidRPr="00D5055F" w:rsidRDefault="00D5055F" w:rsidP="00D5055F">
      <w:pPr>
        <w:pStyle w:val="PKTpunkt"/>
      </w:pPr>
      <w:r w:rsidRPr="00D5055F">
        <w:t>9)</w:t>
      </w:r>
      <w:r w:rsidRPr="00D5055F">
        <w:tab/>
        <w:t>po art. 20f dodaje się art. 20g w brzmieniu:</w:t>
      </w:r>
    </w:p>
    <w:p w14:paraId="42802FE2" w14:textId="5FD1B3D7" w:rsidR="00605714" w:rsidRDefault="00D5055F" w:rsidP="00D5055F">
      <w:pPr>
        <w:pStyle w:val="ZARTzmartartykuempunktem"/>
      </w:pPr>
      <w:r w:rsidRPr="00D5055F">
        <w:t xml:space="preserve">„Art. 20g. </w:t>
      </w:r>
      <w:r w:rsidR="003F012C">
        <w:t>1.</w:t>
      </w:r>
      <w:r w:rsidR="00E27F29">
        <w:t xml:space="preserve"> Jeżeli </w:t>
      </w:r>
      <w:r w:rsidR="00E27F29" w:rsidRPr="00E27F29">
        <w:t>dla podmiotu podlegającego obowiązkowi wpisu do rejestru, o którym mowa w art. 1 ust. 2 pkt 1, lub do rejestru, o którym mowa w art. 1ust. 2 pkt 2 założono konto w systemie teleinformatycznym</w:t>
      </w:r>
      <w:r w:rsidR="00E13330">
        <w:t>,</w:t>
      </w:r>
      <w:r w:rsidR="00E27F29" w:rsidRPr="00E27F29">
        <w:t xml:space="preserve"> sąd rejestrowy przy pierwszym doręczeniu poucza podmiot o treści art. 19 ust. 2a i 8a oraz o treści art. 125 § 2</w:t>
      </w:r>
      <w:r w:rsidR="00E27F29" w:rsidRPr="00E27F29">
        <w:rPr>
          <w:rStyle w:val="IGindeksgrny"/>
        </w:rPr>
        <w:t>1</w:t>
      </w:r>
      <w:r w:rsidR="00E27F29" w:rsidRPr="00E27F29">
        <w:t xml:space="preserve"> zdanie drugie i art. 694</w:t>
      </w:r>
      <w:r w:rsidR="00E27F29" w:rsidRPr="00E27F29">
        <w:rPr>
          <w:rStyle w:val="IGindeksgrny"/>
        </w:rPr>
        <w:t>6</w:t>
      </w:r>
      <w:r w:rsidR="00E27F29" w:rsidRPr="00E27F29">
        <w:t xml:space="preserve"> § 4 Kodeksu postępowania cywilnego</w:t>
      </w:r>
      <w:r w:rsidR="00493CB9">
        <w:t>.</w:t>
      </w:r>
    </w:p>
    <w:p w14:paraId="7A529ABA" w14:textId="53F2CE92" w:rsidR="00D5055F" w:rsidRPr="00D5055F" w:rsidRDefault="00605714" w:rsidP="00D5055F">
      <w:pPr>
        <w:pStyle w:val="ZARTzmartartykuempunktem"/>
      </w:pPr>
      <w:r>
        <w:t xml:space="preserve">2. </w:t>
      </w:r>
      <w:r w:rsidR="00493CB9" w:rsidRPr="00493CB9">
        <w:t>Jeżeli dla podmiotu nie założono konta w systemie teleinformatycznym, sąd rejestrowy przy pierwszym doręczeniu  poucza podmiot także o treści art. 19 ust. 2b oraz i art. 694</w:t>
      </w:r>
      <w:r w:rsidR="00493CB9" w:rsidRPr="00493CB9">
        <w:rPr>
          <w:rStyle w:val="IGindeksgrny"/>
        </w:rPr>
        <w:t>6</w:t>
      </w:r>
      <w:r w:rsidR="00493CB9" w:rsidRPr="00493CB9">
        <w:t xml:space="preserve"> §  5 Kodeksu postępowania cywilnego, a także o sposobie założenia konta w systemie teleinformatycznym i uwierzytelnienia się na tym koncie.</w:t>
      </w:r>
      <w:r w:rsidR="00D5055F" w:rsidRPr="00D5055F">
        <w:t>”;</w:t>
      </w:r>
    </w:p>
    <w:p w14:paraId="4E06D0F3" w14:textId="77777777" w:rsidR="00D5055F" w:rsidRPr="00D5055F" w:rsidRDefault="00D5055F" w:rsidP="00D5055F">
      <w:pPr>
        <w:pStyle w:val="PKTpunkt"/>
      </w:pPr>
      <w:r w:rsidRPr="00D5055F">
        <w:t>10)</w:t>
      </w:r>
      <w:r w:rsidRPr="00D5055F">
        <w:tab/>
        <w:t>w art. 21 w ust. 1 wyrazy „rządowej i samorządowej” zastępuje się wyrazem „</w:t>
      </w:r>
      <w:bookmarkStart w:id="20" w:name="_Hlk135242596"/>
      <w:r w:rsidRPr="00D5055F">
        <w:t>publicznej</w:t>
      </w:r>
      <w:bookmarkEnd w:id="20"/>
      <w:r w:rsidRPr="00D5055F">
        <w:t>”;</w:t>
      </w:r>
    </w:p>
    <w:p w14:paraId="768ACC05" w14:textId="77777777" w:rsidR="00D5055F" w:rsidRPr="00D5055F" w:rsidRDefault="00D5055F" w:rsidP="00D5055F">
      <w:pPr>
        <w:pStyle w:val="PKTpunkt"/>
      </w:pPr>
      <w:r w:rsidRPr="00D5055F">
        <w:t>11)</w:t>
      </w:r>
      <w:r w:rsidRPr="00D5055F">
        <w:tab/>
        <w:t>po art. 21d dodaje się art. 21e-21f w brzmieniu:</w:t>
      </w:r>
    </w:p>
    <w:p w14:paraId="45C1E28A" w14:textId="77777777" w:rsidR="00D5055F" w:rsidRPr="00D5055F" w:rsidRDefault="00D5055F" w:rsidP="00D5055F">
      <w:pPr>
        <w:pStyle w:val="ZARTzmartartykuempunktem"/>
      </w:pPr>
      <w:bookmarkStart w:id="21" w:name="_Hlk135242789"/>
      <w:r w:rsidRPr="00D5055F">
        <w:t>„Art. 21e. Sąd rejestrowy otrzymuje z Rejestru, za pośrednictwem systemu teleinformatycznego, informacje o wpisie wzmianek wskazanych w art. 40 pkt 2-5a i 7 dla podmiotów, w stosunku do których zamieszczona jest:</w:t>
      </w:r>
    </w:p>
    <w:p w14:paraId="3A1C9263" w14:textId="77777777" w:rsidR="00D5055F" w:rsidRPr="00D5055F" w:rsidRDefault="00D5055F" w:rsidP="00D5055F">
      <w:pPr>
        <w:pStyle w:val="ZPKTzmpktartykuempunktem"/>
      </w:pPr>
      <w:r w:rsidRPr="00D5055F">
        <w:t>1)</w:t>
      </w:r>
      <w:r w:rsidRPr="00D5055F">
        <w:tab/>
        <w:t xml:space="preserve">wzmianka o niewykonywaniu obowiązku złożenia dokumentów finansowych pomimo wezwania sądu lub </w:t>
      </w:r>
    </w:p>
    <w:p w14:paraId="7528BA07" w14:textId="77777777" w:rsidR="00D5055F" w:rsidRPr="00D5055F" w:rsidRDefault="00D5055F" w:rsidP="00D5055F">
      <w:pPr>
        <w:pStyle w:val="ZPKTzmpktartykuempunktem"/>
      </w:pPr>
      <w:r w:rsidRPr="00D5055F">
        <w:t>2)</w:t>
      </w:r>
      <w:r w:rsidRPr="00D5055F">
        <w:tab/>
        <w:t>wzmianka o prowadzeniu postępowania o rozwiązanie podmiotu wpisanego do Rejestru bez przeprowadzania postępowania likwidacyjnego.</w:t>
      </w:r>
    </w:p>
    <w:p w14:paraId="3675851F" w14:textId="77777777" w:rsidR="00D5055F" w:rsidRPr="00D5055F" w:rsidRDefault="00D5055F" w:rsidP="00D5055F">
      <w:pPr>
        <w:pStyle w:val="ZUSTzmustartykuempunktem"/>
      </w:pPr>
      <w:bookmarkStart w:id="22" w:name="_Hlk166171847"/>
      <w:r w:rsidRPr="00D5055F">
        <w:t xml:space="preserve">Art. 21f. Sąd rejestrowy otrzymuje z rejestru PESEL, za pośrednictwem systemu teleinformatycznego informacje o zmianie imienia, nazwiska lub numeru PESEL osoby </w:t>
      </w:r>
      <w:r w:rsidRPr="00D5055F">
        <w:lastRenderedPageBreak/>
        <w:t>fizycznej ujawnionej w Rejestrze lub zamieszczenia w rejestrze PESEL w stosunku do tej osoby informacji o jej zgonie albo o dacie znalezienia jej zwłok.”;</w:t>
      </w:r>
    </w:p>
    <w:p w14:paraId="5580C35D" w14:textId="77777777" w:rsidR="00D5055F" w:rsidRPr="00D5055F" w:rsidRDefault="00D5055F" w:rsidP="00D5055F">
      <w:pPr>
        <w:pStyle w:val="PKTpunkt"/>
      </w:pPr>
      <w:r w:rsidRPr="00D5055F">
        <w:t>12)</w:t>
      </w:r>
      <w:r w:rsidRPr="00D5055F">
        <w:tab/>
        <w:t>w art. 22 po ust. 1 dodaje się ust. 1a w brzmieniu:</w:t>
      </w:r>
    </w:p>
    <w:p w14:paraId="47D39D1A" w14:textId="77777777" w:rsidR="00D5055F" w:rsidRPr="00D5055F" w:rsidRDefault="00D5055F" w:rsidP="00D5055F">
      <w:pPr>
        <w:pStyle w:val="ZUSTzmustartykuempunktem"/>
      </w:pPr>
      <w:r w:rsidRPr="00D5055F">
        <w:t>„1a. Przepis ust. 1 stosuje się odpowiednio do dokumentów, o których mowa w art. 9 ust. 2, co nie uchybia terminom określonym w przepisach szczególnych.”;</w:t>
      </w:r>
    </w:p>
    <w:bookmarkEnd w:id="21"/>
    <w:bookmarkEnd w:id="22"/>
    <w:p w14:paraId="1C3ED1E1" w14:textId="77777777" w:rsidR="00D5055F" w:rsidRPr="00D5055F" w:rsidRDefault="00D5055F" w:rsidP="00D5055F">
      <w:pPr>
        <w:pStyle w:val="PKTpunkt"/>
      </w:pPr>
      <w:r w:rsidRPr="00D5055F">
        <w:t>13)</w:t>
      </w:r>
      <w:r w:rsidRPr="00D5055F">
        <w:tab/>
        <w:t>w art. 24:</w:t>
      </w:r>
    </w:p>
    <w:p w14:paraId="310659A4" w14:textId="77777777" w:rsidR="00D5055F" w:rsidRPr="00D5055F" w:rsidRDefault="00D5055F" w:rsidP="00D5055F">
      <w:pPr>
        <w:pStyle w:val="LITlitera"/>
      </w:pPr>
      <w:r w:rsidRPr="00D5055F">
        <w:t>a)</w:t>
      </w:r>
      <w:r w:rsidRPr="00D5055F">
        <w:tab/>
        <w:t>ust. 1-1b otrzymują brzmienie:</w:t>
      </w:r>
    </w:p>
    <w:p w14:paraId="5BA9A532" w14:textId="77777777" w:rsidR="00D5055F" w:rsidRPr="00D5055F" w:rsidRDefault="00D5055F" w:rsidP="00D5055F">
      <w:pPr>
        <w:pStyle w:val="ZLITUSTzmustliter"/>
      </w:pPr>
      <w:r w:rsidRPr="00D5055F">
        <w:t>„1. W przypadku uprawdopodobnienia, że wniosek o wpis do Rejestru lub dokumenty, których złożenie jest obowiązkowe, nie zostały złożone pomimo upływu terminu, sąd rejestrowy wszczyna postępowanie przymuszające i podejmuje niezbędne czynności wyjaśniające. W razie stwierdzenia, że wniosek o wpis do Rejestru lub dokumenty, których złożenie jest obowiązkowe, nie zostały złożone pomimo upływu terminu, sąd rejestrowy wzywa podmiot obowiązany do złożenia odpowiedniego wniosku lub dokumentów – wyznaczając dodatkowy 7-dniowy termin.</w:t>
      </w:r>
    </w:p>
    <w:p w14:paraId="163346FC" w14:textId="77777777" w:rsidR="00D5055F" w:rsidRPr="00D5055F" w:rsidRDefault="00D5055F" w:rsidP="00D5055F">
      <w:pPr>
        <w:pStyle w:val="ZLITUSTzmustliter"/>
      </w:pPr>
      <w:r w:rsidRPr="00D5055F">
        <w:t>1a. W przypadku uprawdopodobnienia, że osoba prawna nie posiada organu uprawnionego do reprezentowania albo w składzie tego organu zachodzą braki uniemożliwiające jej działanie, sąd rejestrowy wszczyna postępowanie przymuszające i podejmuje niezbędne czynności wyjaśniające. W razie stwierdzenia, że osoba prawna nie posiada organu uprawnionego do reprezentowania albo w składzie tego organu zachodzą braki uniemożliwiające jej działanie, sąd rejestrowy  wzywa obowiązanych do powołania albo wyboru tego organu do:</w:t>
      </w:r>
    </w:p>
    <w:p w14:paraId="4836E087" w14:textId="77777777" w:rsidR="00D5055F" w:rsidRPr="00D5055F" w:rsidRDefault="00D5055F" w:rsidP="00D5055F">
      <w:pPr>
        <w:pStyle w:val="ZLITPKTzmpktliter"/>
      </w:pPr>
      <w:r w:rsidRPr="00D5055F">
        <w:t>1)</w:t>
      </w:r>
      <w:r w:rsidRPr="00D5055F">
        <w:tab/>
        <w:t>wykazania, że organ został powołany, wybrany albo że braki w jego składzie zostały usunięte – wyznaczając  7-dniowy termin, albo</w:t>
      </w:r>
    </w:p>
    <w:p w14:paraId="7C50709C" w14:textId="77777777" w:rsidR="00D5055F" w:rsidRPr="00D5055F" w:rsidRDefault="00D5055F" w:rsidP="00D5055F">
      <w:pPr>
        <w:pStyle w:val="ZLITPKTzmpktliter"/>
      </w:pPr>
      <w:r w:rsidRPr="00D5055F">
        <w:t>2)</w:t>
      </w:r>
      <w:r w:rsidRPr="00D5055F">
        <w:tab/>
        <w:t xml:space="preserve">powołania, wyboru albo usunięcia braków w składzie tego organu – wyznaczając odpowiedni termin. </w:t>
      </w:r>
    </w:p>
    <w:p w14:paraId="34FCFB25" w14:textId="77777777" w:rsidR="00D5055F" w:rsidRPr="00D5055F" w:rsidRDefault="00D5055F" w:rsidP="00D5055F">
      <w:pPr>
        <w:pStyle w:val="ZLITUSTzmustliter"/>
      </w:pPr>
      <w:r w:rsidRPr="00D5055F">
        <w:t xml:space="preserve">1b. Wezwań, o których mowa w ust. 1 i 1a, sąd rejestrowy dokonuje pod rygorem zastosowania grzywny przewidzianej w przepisach Kodeksu postępowania cywilnego o egzekucji świadczeń niepieniężnych. W przypadku niewykonania obowiązków w terminie sąd rejestrowy nakłada grzywny na obowiązanych.  Przepisu art. 1053 Kodeksu postępowania cywilnego nie stosuje się.”, </w:t>
      </w:r>
    </w:p>
    <w:p w14:paraId="683B98A0" w14:textId="77777777" w:rsidR="00D5055F" w:rsidRPr="00D5055F" w:rsidRDefault="00D5055F" w:rsidP="00D5055F">
      <w:pPr>
        <w:pStyle w:val="LITlitera"/>
      </w:pPr>
      <w:r w:rsidRPr="00D5055F">
        <w:t>b)</w:t>
      </w:r>
      <w:r w:rsidRPr="00D5055F">
        <w:tab/>
        <w:t>po ust. 2 dodaje się ust. 2a-2d w brzmieniu:</w:t>
      </w:r>
    </w:p>
    <w:p w14:paraId="515B1854" w14:textId="6F4EF127" w:rsidR="00D5055F" w:rsidRPr="00D5055F" w:rsidRDefault="00D5055F" w:rsidP="00D5055F">
      <w:pPr>
        <w:pStyle w:val="ZLITUSTzmustliter"/>
      </w:pPr>
      <w:r w:rsidRPr="00D5055F">
        <w:lastRenderedPageBreak/>
        <w:t xml:space="preserve">„2a. Przepisu ust. 1b nie stosuje się w przypadku stwierdzenia, że nie zostały złożone dokumenty finansowe. W takim przypadku sąd rejestrowy dokonuje wezwania do złożenia tych dokumentów do repozytorium dokumentów finansowych pod rygorem </w:t>
      </w:r>
      <w:r w:rsidR="005B0BD8">
        <w:t>wpisu</w:t>
      </w:r>
      <w:r w:rsidR="005B0BD8" w:rsidRPr="00D5055F">
        <w:t xml:space="preserve"> </w:t>
      </w:r>
      <w:r w:rsidRPr="00D5055F">
        <w:t>w Rejestrze wzmianki o niewykonywaniu obowiązku złożenia dokumentów finansowych pomimo wezwania sądu wraz z pouczeniem o treści ust. 2b-2d. W przypadku niewykonania obowiązków w terminie sąd z urzędu wpisuje do Rejestru wzmiankę o niewykonywaniu obowiązku złożenia dokumentów finansowych pomimo wezwania sądu.</w:t>
      </w:r>
    </w:p>
    <w:p w14:paraId="2EC11F11" w14:textId="5976E8E5" w:rsidR="00D5055F" w:rsidRPr="00D5055F" w:rsidRDefault="00D5055F" w:rsidP="00D5055F">
      <w:pPr>
        <w:pStyle w:val="ZLITUSTzmustliter"/>
      </w:pPr>
      <w:r w:rsidRPr="00D5055F">
        <w:t xml:space="preserve">2b. Po wpisaniu do Rejestru wzmianki o niewykonywaniu obowiązku złożenia dokumentów finansowych pomimo wezwania sądu sąd rejestrowy niezwłocznie </w:t>
      </w:r>
      <w:r w:rsidR="00EE1E3F">
        <w:t>zawiadamia</w:t>
      </w:r>
      <w:r w:rsidR="00EE1E3F" w:rsidRPr="00D5055F">
        <w:t xml:space="preserve"> </w:t>
      </w:r>
      <w:r w:rsidR="00A75AEC">
        <w:t>właściwy organ Krajowej Administracji Skarbowej</w:t>
      </w:r>
      <w:r w:rsidRPr="00D5055F">
        <w:t xml:space="preserve"> </w:t>
      </w:r>
      <w:r w:rsidR="0012239B">
        <w:t xml:space="preserve">o podejrzeniu popełnienia czynu zabronionego, o którym mowa w art. 79 </w:t>
      </w:r>
      <w:r w:rsidR="00A75AEC">
        <w:t>pkt 4</w:t>
      </w:r>
      <w:r w:rsidR="0012239B">
        <w:t xml:space="preserve"> ustawy</w:t>
      </w:r>
      <w:r w:rsidR="007F1054">
        <w:t xml:space="preserve"> z dnia 29 września 1994 r.</w:t>
      </w:r>
      <w:r w:rsidR="00A75AEC">
        <w:t xml:space="preserve"> o rachunkowości</w:t>
      </w:r>
      <w:r w:rsidR="004717C7">
        <w:t>, przekazując</w:t>
      </w:r>
      <w:r w:rsidR="00B516F8">
        <w:t xml:space="preserve"> jednocześnie informację o</w:t>
      </w:r>
      <w:r w:rsidR="004717C7">
        <w:t xml:space="preserve"> </w:t>
      </w:r>
      <w:r w:rsidR="004717C7" w:rsidRPr="0028443D">
        <w:t>numer</w:t>
      </w:r>
      <w:r w:rsidR="00B516F8">
        <w:t>ze</w:t>
      </w:r>
      <w:r w:rsidR="004717C7" w:rsidRPr="0028443D">
        <w:t xml:space="preserve"> podmiotu w Rejestrze, sygnatur</w:t>
      </w:r>
      <w:r w:rsidR="00B516F8">
        <w:t>ze</w:t>
      </w:r>
      <w:r w:rsidR="004717C7" w:rsidRPr="0028443D">
        <w:t xml:space="preserve"> sprawy, da</w:t>
      </w:r>
      <w:r w:rsidR="00B516F8">
        <w:t>cie</w:t>
      </w:r>
      <w:r w:rsidR="004717C7" w:rsidRPr="0028443D">
        <w:t xml:space="preserve"> dokonania wpisu</w:t>
      </w:r>
      <w:r w:rsidR="00B516F8">
        <w:t xml:space="preserve"> tej</w:t>
      </w:r>
      <w:r w:rsidR="004717C7" w:rsidRPr="0028443D">
        <w:t xml:space="preserve"> wzmianki i numer</w:t>
      </w:r>
      <w:r w:rsidR="00B516F8">
        <w:t>ze</w:t>
      </w:r>
      <w:r w:rsidR="004717C7" w:rsidRPr="0028443D">
        <w:t xml:space="preserve"> wpisu</w:t>
      </w:r>
      <w:r w:rsidRPr="00D5055F">
        <w:t>.</w:t>
      </w:r>
    </w:p>
    <w:p w14:paraId="41D18CC4" w14:textId="77777777" w:rsidR="00D5055F" w:rsidRPr="00D5055F" w:rsidRDefault="00D5055F" w:rsidP="00D5055F">
      <w:pPr>
        <w:pStyle w:val="ZLITUSTzmustliter"/>
      </w:pPr>
      <w:r w:rsidRPr="00D5055F">
        <w:t>2c. Do chwili wykreślenia wzmianki o niewykonywaniu obowiązku złożenia dokumentów finansowych pomimo wezwania sądu nie wszczyna się kolejnych postępowań przymuszających do złożenia dokumentów finansowych.</w:t>
      </w:r>
    </w:p>
    <w:p w14:paraId="1F1220E2" w14:textId="77777777" w:rsidR="00D5055F" w:rsidRPr="00D5055F" w:rsidRDefault="00D5055F" w:rsidP="00D5055F">
      <w:pPr>
        <w:pStyle w:val="ZLITUSTzmustliter"/>
      </w:pPr>
      <w:r w:rsidRPr="00D5055F">
        <w:t>2d. Sąd rejestrowy wykreśla z urzędu wzmiankę o niewykonywaniu obowiązku złożenia dokumentów finansowych pomimo wezwania sądu w przypadku złożenia przez podmiot obowiązany wszystkich zaległych dokumentów finansowych, w tym także tych, których obowiązek złożenia powstał po wpisie tej wzmianki.”,</w:t>
      </w:r>
    </w:p>
    <w:p w14:paraId="1584443D" w14:textId="77777777" w:rsidR="00D5055F" w:rsidRPr="00D5055F" w:rsidRDefault="00D5055F" w:rsidP="00D5055F">
      <w:pPr>
        <w:pStyle w:val="LITlitera"/>
      </w:pPr>
      <w:r w:rsidRPr="00D5055F">
        <w:t>c)</w:t>
      </w:r>
      <w:r w:rsidRPr="00D5055F">
        <w:tab/>
        <w:t>ust. 3 otrzymuje brzmienie:</w:t>
      </w:r>
    </w:p>
    <w:p w14:paraId="0E3A8C3D" w14:textId="77777777" w:rsidR="00D5055F" w:rsidRPr="00D5055F" w:rsidRDefault="00D5055F" w:rsidP="00D5055F">
      <w:pPr>
        <w:pStyle w:val="ZLITUSTzmustliter"/>
      </w:pPr>
      <w:r w:rsidRPr="00D5055F">
        <w:t>„3. Sąd rejestrowy odstępuje od postępowania przymuszającego, o którym mowa w ust. 1 lub 1a, jeżeli w wyniku podjęcia czynności wyjaśniających stwierdził, że:</w:t>
      </w:r>
    </w:p>
    <w:p w14:paraId="7722BCD9" w14:textId="77777777" w:rsidR="00D5055F" w:rsidRPr="00D5055F" w:rsidRDefault="00D5055F" w:rsidP="004444D0">
      <w:pPr>
        <w:pStyle w:val="ZLITPKTzmpktliter"/>
      </w:pPr>
      <w:r w:rsidRPr="00D5055F">
        <w:t>1)</w:t>
      </w:r>
      <w:r w:rsidRPr="00D5055F">
        <w:tab/>
        <w:t>wniosek o wpis do Rejestru lub dokumenty, których złożenie jest obowiązkowe zostały złożone albo</w:t>
      </w:r>
    </w:p>
    <w:p w14:paraId="0AB3D5FC" w14:textId="77777777" w:rsidR="00D5055F" w:rsidRPr="00D5055F" w:rsidRDefault="00D5055F" w:rsidP="004444D0">
      <w:pPr>
        <w:pStyle w:val="ZLITPKTzmpktliter"/>
      </w:pPr>
      <w:r w:rsidRPr="00D5055F">
        <w:t>2)</w:t>
      </w:r>
      <w:r w:rsidRPr="00D5055F">
        <w:tab/>
        <w:t xml:space="preserve">z danych zawartych w aktach rejestrowych wynika, że postępowanie przymuszające nie doprowadzi do złożenia wniosku o wpis lub dokumentów, których złożenie jest obowiązkowe albo </w:t>
      </w:r>
    </w:p>
    <w:p w14:paraId="3024CF7B" w14:textId="77777777" w:rsidR="00D5055F" w:rsidRPr="00D5055F" w:rsidRDefault="00D5055F" w:rsidP="004444D0">
      <w:pPr>
        <w:pStyle w:val="ZLITPKTzmpktliter"/>
      </w:pPr>
      <w:r w:rsidRPr="00D5055F">
        <w:lastRenderedPageBreak/>
        <w:t>3)</w:t>
      </w:r>
      <w:r w:rsidRPr="00D5055F">
        <w:tab/>
        <w:t>z danych zawartych w aktach rejestrowych wynika, że postępowanie przymuszające nie doprowadzi do wykazania okoliczności, o których mowa w ust. 1a pkt 1 albo do wykonania czynności, o których mowa w ust. 1a pkt 2.</w:t>
      </w:r>
    </w:p>
    <w:p w14:paraId="0F387E99" w14:textId="77777777" w:rsidR="00D5055F" w:rsidRPr="00D5055F" w:rsidRDefault="00D5055F" w:rsidP="004444D0">
      <w:pPr>
        <w:pStyle w:val="ZLITCZWSPPKTzmczciwsppktliter"/>
      </w:pPr>
      <w:r w:rsidRPr="00D5055F">
        <w:t>W postanowieniu o odstąpieniu od postępowania przymuszającego sąd rejestrowy wskazuje podstawę faktyczną odstąpienia. Postanowienie nie wymaga doręczenia i nie podlega zaskarżeniu.</w:t>
      </w:r>
      <w:bookmarkStart w:id="23" w:name="_Hlk135243019"/>
      <w:r w:rsidRPr="00D5055F">
        <w:t>”;</w:t>
      </w:r>
      <w:bookmarkEnd w:id="23"/>
    </w:p>
    <w:p w14:paraId="055D700E" w14:textId="77777777" w:rsidR="00D5055F" w:rsidRPr="00D5055F" w:rsidRDefault="00D5055F" w:rsidP="00D5055F">
      <w:pPr>
        <w:pStyle w:val="PKTpunkt"/>
      </w:pPr>
      <w:r w:rsidRPr="00D5055F">
        <w:t>14)</w:t>
      </w:r>
      <w:r w:rsidRPr="00D5055F">
        <w:tab/>
        <w:t>w art. 25a:</w:t>
      </w:r>
    </w:p>
    <w:p w14:paraId="6CA06C99" w14:textId="77777777" w:rsidR="00D5055F" w:rsidRPr="00D5055F" w:rsidRDefault="00D5055F" w:rsidP="00D5055F">
      <w:pPr>
        <w:pStyle w:val="LITlitera"/>
      </w:pPr>
      <w:r w:rsidRPr="00D5055F">
        <w:t>a)</w:t>
      </w:r>
      <w:r w:rsidRPr="00D5055F">
        <w:tab/>
        <w:t>w ust. 1:</w:t>
      </w:r>
    </w:p>
    <w:p w14:paraId="61732D87" w14:textId="77777777" w:rsidR="00D5055F" w:rsidRPr="00D5055F" w:rsidRDefault="00D5055F" w:rsidP="00D5055F">
      <w:pPr>
        <w:pStyle w:val="TIRtiret"/>
      </w:pPr>
      <w:r w:rsidRPr="00D5055F">
        <w:t>-</w:t>
      </w:r>
      <w:r w:rsidRPr="00D5055F">
        <w:tab/>
        <w:t>pkt 3 otrzymuje brzmienie:</w:t>
      </w:r>
    </w:p>
    <w:p w14:paraId="1AA68F4D" w14:textId="77777777" w:rsidR="00D5055F" w:rsidRPr="00D5055F" w:rsidRDefault="00D5055F" w:rsidP="00D5055F">
      <w:pPr>
        <w:pStyle w:val="ZLITTIRwLITzmtirwlitliter"/>
      </w:pPr>
      <w:r w:rsidRPr="00D5055F">
        <w:t>„3)</w:t>
      </w:r>
      <w:r w:rsidRPr="00D5055F">
        <w:tab/>
        <w:t>wydano postanowienie o odstąpieniu od postępowania przymuszającego na podstawie art. 24 ust. 3 pkt 2 i 3 lub o jego umorzeniu na podstawie art. 24 ust. 4;”,</w:t>
      </w:r>
    </w:p>
    <w:p w14:paraId="02D44F19" w14:textId="77777777" w:rsidR="00D5055F" w:rsidRPr="00D5055F" w:rsidRDefault="00D5055F" w:rsidP="00D5055F">
      <w:pPr>
        <w:pStyle w:val="TIRtiret"/>
      </w:pPr>
      <w:r w:rsidRPr="00D5055F">
        <w:t>-</w:t>
      </w:r>
      <w:r w:rsidRPr="00D5055F">
        <w:tab/>
        <w:t>po pkt 4 dodaje się pkt 4a w brzmieniu:</w:t>
      </w:r>
    </w:p>
    <w:p w14:paraId="25EB288F" w14:textId="77777777" w:rsidR="00D5055F" w:rsidRPr="00D5055F" w:rsidRDefault="00D5055F" w:rsidP="00D5055F">
      <w:pPr>
        <w:pStyle w:val="ZLITTIRwLITzmtirwlitliter"/>
      </w:pPr>
      <w:r w:rsidRPr="00D5055F">
        <w:t>„</w:t>
      </w:r>
      <w:bookmarkStart w:id="24" w:name="_Hlk135243455"/>
      <w:r w:rsidRPr="00D5055F">
        <w:t>4a)</w:t>
      </w:r>
      <w:r w:rsidRPr="00D5055F">
        <w:tab/>
        <w:t>mimo upływu roku od dnia wpisania do Rejestru wzmianki o niewykonywaniu obowiązku złożenia dokumentów finansowych pomimo wezwania sądu, nie zostały złożone wszystkie zaległe dokumenty finansowe, w tym także te, których obowiązek złożenia powstał po wpisie tej wzmianki;”,</w:t>
      </w:r>
    </w:p>
    <w:bookmarkEnd w:id="24"/>
    <w:p w14:paraId="497FAB73" w14:textId="77777777" w:rsidR="00D5055F" w:rsidRPr="00D5055F" w:rsidRDefault="00D5055F" w:rsidP="00D5055F">
      <w:pPr>
        <w:pStyle w:val="LITlitera"/>
      </w:pPr>
      <w:r w:rsidRPr="00D5055F">
        <w:t>b)</w:t>
      </w:r>
      <w:r w:rsidRPr="00D5055F">
        <w:tab/>
        <w:t>po ust. 1 dodaje się ust. 1a w brzmieniu:</w:t>
      </w:r>
    </w:p>
    <w:p w14:paraId="41E13FC8" w14:textId="77777777" w:rsidR="00D5055F" w:rsidRPr="00D5055F" w:rsidRDefault="00D5055F" w:rsidP="00D5055F">
      <w:pPr>
        <w:pStyle w:val="ZLITUSTzmustliter"/>
      </w:pPr>
      <w:bookmarkStart w:id="25" w:name="_Hlk135243489"/>
      <w:r w:rsidRPr="00D5055F">
        <w:t>„1a. Sąd rejestrowy wszczyna z urzędu postępowanie o rozwiązanie podmiotu wpisanego do Rejestru bez przeprowadzania postępowania likwidacyjnego również w przypadku otrzymania informacji, o której mowa w art. 46b ust. 2 ustawy z dnia 16 listopada 2016 r. o Krajowej Administracji Skarbowej (Dz. U. z 2025 r. poz. 1131, 1423, 1820 i 1863).”,</w:t>
      </w:r>
    </w:p>
    <w:bookmarkEnd w:id="25"/>
    <w:p w14:paraId="7958AFCC" w14:textId="77777777" w:rsidR="00D5055F" w:rsidRPr="00D5055F" w:rsidRDefault="00D5055F" w:rsidP="00D5055F">
      <w:pPr>
        <w:pStyle w:val="LITlitera"/>
      </w:pPr>
      <w:r w:rsidRPr="00D5055F">
        <w:t>c)</w:t>
      </w:r>
      <w:r w:rsidRPr="00D5055F">
        <w:tab/>
        <w:t>ust. 2 otrzymuje brzmienie:</w:t>
      </w:r>
    </w:p>
    <w:p w14:paraId="5A5D24A3" w14:textId="77777777" w:rsidR="00D5055F" w:rsidRPr="00D5055F" w:rsidRDefault="00D5055F" w:rsidP="00D5055F">
      <w:pPr>
        <w:pStyle w:val="ZLITUSTzmustliter"/>
      </w:pPr>
      <w:bookmarkStart w:id="26" w:name="_Hlk135243510"/>
      <w:r w:rsidRPr="00D5055F">
        <w:t>„2. W toku postępowania o rozwiązanie podmiotu wpisanego do Rejestru bez przeprowadzania postępowania likwidacyjnego sąd rejestrowy bada, w sposób określony w art. 25c, czy podmiot ten posiada zbywalny majątek i czy faktycznie prowadzi działalność.”;</w:t>
      </w:r>
    </w:p>
    <w:p w14:paraId="4253610C" w14:textId="77777777" w:rsidR="00D5055F" w:rsidRPr="00D5055F" w:rsidRDefault="00D5055F" w:rsidP="00D5055F">
      <w:pPr>
        <w:pStyle w:val="LITlitera"/>
      </w:pPr>
      <w:r w:rsidRPr="00D5055F">
        <w:t>d)</w:t>
      </w:r>
      <w:r w:rsidRPr="00D5055F">
        <w:tab/>
        <w:t>dodaje się ust. 3 w brzmieniu:</w:t>
      </w:r>
    </w:p>
    <w:p w14:paraId="13BEEF6A" w14:textId="3FE4D48A" w:rsidR="00D5055F" w:rsidRPr="00D5055F" w:rsidRDefault="00D5055F" w:rsidP="00D5055F">
      <w:pPr>
        <w:pStyle w:val="ZLITUSTzmustliter"/>
      </w:pPr>
      <w:r w:rsidRPr="00D5055F">
        <w:t xml:space="preserve">„3. W przypadkach wskazanych w ust. 1 pkt 3-5 sąd rejestrowy odstępuje od postępowania o rozwiązanie podmiotu bez przeprowadzania </w:t>
      </w:r>
      <w:r w:rsidR="0055760D">
        <w:t xml:space="preserve">postępowania </w:t>
      </w:r>
      <w:r w:rsidRPr="00D5055F">
        <w:t>likwida</w:t>
      </w:r>
      <w:r w:rsidR="0055760D">
        <w:t>cyjnego</w:t>
      </w:r>
      <w:r w:rsidRPr="00D5055F">
        <w:t xml:space="preserve">, jeżeli z danych zawartych w aktach rejestrowych wynika, że </w:t>
      </w:r>
      <w:r w:rsidRPr="00D5055F">
        <w:lastRenderedPageBreak/>
        <w:t xml:space="preserve">podmiot ten posiada zbywalny majątek lub faktycznie prowadzi działalność. W postanowieniu o odstąpieniu od postępowania o rozwiązanie podmiotu bez przeprowadzania </w:t>
      </w:r>
      <w:r w:rsidR="0055760D">
        <w:t xml:space="preserve">postępowania likwidacyjnego </w:t>
      </w:r>
      <w:r w:rsidRPr="00D5055F">
        <w:t>sąd rejestrowy wskazuje podstawę faktyczną odstąpienia. Postanowienie nie wymaga doręczenia i nie podlega zaskarżeniu.”;</w:t>
      </w:r>
    </w:p>
    <w:bookmarkEnd w:id="26"/>
    <w:p w14:paraId="1EF3781F" w14:textId="77777777" w:rsidR="00D5055F" w:rsidRPr="00D5055F" w:rsidRDefault="00D5055F" w:rsidP="00D5055F">
      <w:pPr>
        <w:pStyle w:val="PKTpunkt"/>
      </w:pPr>
      <w:r w:rsidRPr="00D5055F">
        <w:t>15)</w:t>
      </w:r>
      <w:r w:rsidRPr="00D5055F">
        <w:tab/>
        <w:t xml:space="preserve">w art. 25b: </w:t>
      </w:r>
    </w:p>
    <w:p w14:paraId="7D540317" w14:textId="77777777" w:rsidR="00D5055F" w:rsidRPr="00D5055F" w:rsidRDefault="00D5055F" w:rsidP="00D5055F">
      <w:pPr>
        <w:pStyle w:val="LITlitera"/>
      </w:pPr>
      <w:r w:rsidRPr="00D5055F">
        <w:t>a)</w:t>
      </w:r>
      <w:r w:rsidRPr="00D5055F">
        <w:tab/>
        <w:t>po ust. 1 dodaje się ust. 1a w brzmieniu:</w:t>
      </w:r>
    </w:p>
    <w:p w14:paraId="1B0794A6" w14:textId="77777777" w:rsidR="00D5055F" w:rsidRPr="00D5055F" w:rsidRDefault="00D5055F" w:rsidP="00D5055F">
      <w:pPr>
        <w:pStyle w:val="ZLITUSTzmustliter"/>
      </w:pPr>
      <w:r w:rsidRPr="00D5055F">
        <w:t>„1a. Niezwłocznie po wszczęciu postępowania o rozwiązanie podmiotu wpisanego do Rejestru bez przeprowadzania postępowania likwidacyjnego sąd rejestrowy zamieszcza w Rejestrze z urzędu wzmiankę o prowadzeniu tego postępowania.”,</w:t>
      </w:r>
    </w:p>
    <w:p w14:paraId="0CDE718F" w14:textId="77777777" w:rsidR="00D5055F" w:rsidRPr="00D5055F" w:rsidRDefault="00D5055F" w:rsidP="00EC1BDE">
      <w:pPr>
        <w:pStyle w:val="LITlitera"/>
      </w:pPr>
      <w:r w:rsidRPr="00D5055F">
        <w:t>b)</w:t>
      </w:r>
      <w:r w:rsidRPr="00D5055F">
        <w:tab/>
        <w:t>w ust. 3 po pkt 3 dodaje się pkt 4 w brzmieniu:</w:t>
      </w:r>
    </w:p>
    <w:p w14:paraId="4CB738D7" w14:textId="77777777" w:rsidR="00D5055F" w:rsidRPr="00D5055F" w:rsidRDefault="00D5055F" w:rsidP="00D5055F">
      <w:pPr>
        <w:pStyle w:val="ZLITPKTzmpktliter"/>
      </w:pPr>
      <w:bookmarkStart w:id="27" w:name="_Hlk135243622"/>
      <w:r w:rsidRPr="00D5055F">
        <w:t>„4)</w:t>
      </w:r>
      <w:r w:rsidRPr="00D5055F">
        <w:tab/>
        <w:t>pouczenie o treści domniemania, o którym mowa w art. 25ca.”</w:t>
      </w:r>
      <w:bookmarkStart w:id="28" w:name="_Hlk135243642"/>
      <w:bookmarkEnd w:id="27"/>
      <w:r w:rsidRPr="00D5055F">
        <w:t>;</w:t>
      </w:r>
    </w:p>
    <w:bookmarkEnd w:id="28"/>
    <w:p w14:paraId="2C0C6B4B" w14:textId="77777777" w:rsidR="00D5055F" w:rsidRPr="00D5055F" w:rsidRDefault="00D5055F" w:rsidP="00D5055F">
      <w:pPr>
        <w:pStyle w:val="PKTpunkt"/>
      </w:pPr>
      <w:r w:rsidRPr="00D5055F">
        <w:t>16)</w:t>
      </w:r>
      <w:r w:rsidRPr="00D5055F">
        <w:tab/>
        <w:t>art. 25c otrzymuje brzmienie:</w:t>
      </w:r>
    </w:p>
    <w:p w14:paraId="737CF841" w14:textId="77777777" w:rsidR="00D5055F" w:rsidRPr="00D5055F" w:rsidRDefault="00D5055F" w:rsidP="00D5055F">
      <w:pPr>
        <w:pStyle w:val="ZARTzmartartykuempunktem"/>
      </w:pPr>
      <w:bookmarkStart w:id="29" w:name="_Hlk135243677"/>
      <w:r w:rsidRPr="00D5055F">
        <w:t>„Art. 25c. 1. W toku postępowania o rozwiązanie podmiotu wpisanego do Rejestru bez przeprowadzania postępowania likwidacyjnego sąd rejestrowy:</w:t>
      </w:r>
    </w:p>
    <w:p w14:paraId="1C4CD7EB" w14:textId="77777777" w:rsidR="00D5055F" w:rsidRPr="00D5055F" w:rsidRDefault="00D5055F" w:rsidP="00D5055F">
      <w:pPr>
        <w:pStyle w:val="ZPKTzmpktartykuempunktem"/>
      </w:pPr>
      <w:r w:rsidRPr="00D5055F">
        <w:t>1)</w:t>
      </w:r>
      <w:r w:rsidRPr="00D5055F">
        <w:tab/>
        <w:t>zwraca się, do:</w:t>
      </w:r>
    </w:p>
    <w:p w14:paraId="4B04010D" w14:textId="77777777" w:rsidR="00D5055F" w:rsidRPr="00D5055F" w:rsidRDefault="00D5055F" w:rsidP="00D5055F">
      <w:pPr>
        <w:pStyle w:val="ZLITwPKTzmlitwpktartykuempunktem"/>
      </w:pPr>
      <w:r w:rsidRPr="00D5055F">
        <w:t>a)</w:t>
      </w:r>
      <w:r w:rsidRPr="00D5055F">
        <w:tab/>
        <w:t>naczelnika urzędu skarbowego właściwego według ostatniego ujawnionego w Rejestrze adresu siedziby podmiotu,</w:t>
      </w:r>
    </w:p>
    <w:p w14:paraId="73A92FC7" w14:textId="77777777" w:rsidR="00D5055F" w:rsidRPr="00D5055F" w:rsidRDefault="00D5055F" w:rsidP="00D5055F">
      <w:pPr>
        <w:pStyle w:val="ZLITwPKTzmlitwpktartykuempunktem"/>
      </w:pPr>
      <w:r w:rsidRPr="00D5055F">
        <w:t>b)</w:t>
      </w:r>
      <w:r w:rsidRPr="00D5055F">
        <w:tab/>
        <w:t>Zakładu Ubezpieczeń Społecznych</w:t>
      </w:r>
    </w:p>
    <w:p w14:paraId="3C9AE040" w14:textId="4B522E3D" w:rsidR="00D5055F" w:rsidRPr="00D5055F" w:rsidRDefault="00D5055F" w:rsidP="00D5055F">
      <w:pPr>
        <w:pStyle w:val="ZCZWSPLITwPKTzmczciwsplitwpktartykuempunktem"/>
      </w:pPr>
      <w:r w:rsidRPr="00D5055F">
        <w:t xml:space="preserve">- o </w:t>
      </w:r>
      <w:r w:rsidR="00B86CDC">
        <w:t xml:space="preserve">przekazanie </w:t>
      </w:r>
      <w:r w:rsidRPr="00D5055F">
        <w:t xml:space="preserve">posiadanych </w:t>
      </w:r>
      <w:bookmarkStart w:id="30" w:name="_Hlk208850567"/>
      <w:r w:rsidRPr="00D5055F">
        <w:t>informacji i dokumentów mogących mieć znaczenie do ustalenia</w:t>
      </w:r>
      <w:bookmarkEnd w:id="30"/>
      <w:r w:rsidR="00606BF5">
        <w:t xml:space="preserve"> przez sąd rejestrowy</w:t>
      </w:r>
      <w:r w:rsidRPr="00D5055F">
        <w:t>, czy podmiot wpisany do Rejestru posiada zbywalny majątek i czy faktycznie prowadzi działalność;</w:t>
      </w:r>
    </w:p>
    <w:p w14:paraId="1C99D3F0" w14:textId="77777777" w:rsidR="00D5055F" w:rsidRPr="00D5055F" w:rsidRDefault="00D5055F" w:rsidP="00D5055F">
      <w:pPr>
        <w:pStyle w:val="ZPKTzmpktartykuempunktem"/>
      </w:pPr>
      <w:r w:rsidRPr="00D5055F">
        <w:t>2)</w:t>
      </w:r>
      <w:r w:rsidRPr="00D5055F">
        <w:tab/>
        <w:t>ustala, czy podmiot wpisany do Rejestru posiada zbywalny majątek i czy faktycznie prowadzi działalność na podstawie danych zgromadzonych w aktach rejestrowych oraz w:</w:t>
      </w:r>
    </w:p>
    <w:p w14:paraId="54646C1D" w14:textId="77777777" w:rsidR="00D5055F" w:rsidRPr="00D5055F" w:rsidRDefault="00D5055F" w:rsidP="00D5055F">
      <w:pPr>
        <w:pStyle w:val="ZLITwPKTzmlitwpktartykuempunktem"/>
      </w:pPr>
      <w:r w:rsidRPr="00D5055F">
        <w:t>a)</w:t>
      </w:r>
      <w:r w:rsidRPr="00D5055F">
        <w:tab/>
        <w:t>zbiorze informacji Rejestru,</w:t>
      </w:r>
    </w:p>
    <w:p w14:paraId="2B946AC7" w14:textId="77777777" w:rsidR="00D5055F" w:rsidRPr="00D5055F" w:rsidRDefault="00D5055F" w:rsidP="00D5055F">
      <w:pPr>
        <w:pStyle w:val="ZLITwPKTzmlitwpktartykuempunktem"/>
      </w:pPr>
      <w:r w:rsidRPr="00D5055F">
        <w:t>b)</w:t>
      </w:r>
      <w:r w:rsidRPr="00D5055F">
        <w:tab/>
        <w:t>centralnej bazie danych ksiąg wieczystych,</w:t>
      </w:r>
    </w:p>
    <w:p w14:paraId="77D130C0" w14:textId="77777777" w:rsidR="00D5055F" w:rsidRPr="00D5055F" w:rsidRDefault="00D5055F" w:rsidP="00D5055F">
      <w:pPr>
        <w:pStyle w:val="ZLITwPKTzmlitwpktartykuempunktem"/>
      </w:pPr>
      <w:r w:rsidRPr="00D5055F">
        <w:t>c)</w:t>
      </w:r>
      <w:r w:rsidRPr="00D5055F">
        <w:tab/>
        <w:t>zbiorze informacji z rejestru zastawów,</w:t>
      </w:r>
    </w:p>
    <w:p w14:paraId="2F483B80" w14:textId="77777777" w:rsidR="00D5055F" w:rsidRPr="00D5055F" w:rsidRDefault="00D5055F" w:rsidP="00D5055F">
      <w:pPr>
        <w:pStyle w:val="ZLITwPKTzmlitwpktartykuempunktem"/>
      </w:pPr>
      <w:r w:rsidRPr="00D5055F">
        <w:t>d)</w:t>
      </w:r>
      <w:r w:rsidRPr="00D5055F">
        <w:tab/>
        <w:t>centralnej ewidencji pojazdów.</w:t>
      </w:r>
    </w:p>
    <w:p w14:paraId="011F59D2" w14:textId="45F9BBEF" w:rsidR="00D5055F" w:rsidRPr="00D5055F" w:rsidRDefault="00D5055F" w:rsidP="00D5055F">
      <w:pPr>
        <w:pStyle w:val="ZUSTzmustartykuempunktem"/>
      </w:pPr>
      <w:r w:rsidRPr="00D5055F">
        <w:t>2. Przepisu ust. 1 pkt 1 lit. a nie stosuje się w przypadku</w:t>
      </w:r>
      <w:r w:rsidR="00887524">
        <w:t>,</w:t>
      </w:r>
      <w:r w:rsidRPr="00D5055F">
        <w:t xml:space="preserve"> gdy postępowanie wszczęto na podstawie art. 25a ust. 1a, a informacja, o której mowa w tym przepisie, nie wymaga uzupełnienia.”;</w:t>
      </w:r>
      <w:bookmarkEnd w:id="29"/>
    </w:p>
    <w:p w14:paraId="2AC5893C" w14:textId="77777777" w:rsidR="00D5055F" w:rsidRPr="00D5055F" w:rsidRDefault="00D5055F" w:rsidP="00D5055F">
      <w:pPr>
        <w:pStyle w:val="PKTpunkt"/>
      </w:pPr>
      <w:r w:rsidRPr="00D5055F">
        <w:lastRenderedPageBreak/>
        <w:t>17)</w:t>
      </w:r>
      <w:r w:rsidRPr="00D5055F">
        <w:tab/>
        <w:t>po art. 25c dodaje się art. 25ca w brzmieniu:</w:t>
      </w:r>
    </w:p>
    <w:p w14:paraId="772E8242" w14:textId="77777777" w:rsidR="00D5055F" w:rsidRPr="00D5055F" w:rsidRDefault="00D5055F" w:rsidP="00D5055F">
      <w:pPr>
        <w:pStyle w:val="ZARTzmartartykuempunktem"/>
      </w:pPr>
      <w:bookmarkStart w:id="31" w:name="_Hlk135243711"/>
      <w:r w:rsidRPr="00D5055F">
        <w:t>„Art. 25ca. Jeżeli w terminie dwóch miesięcy od dnia ogłoszenia o wszczęciu postępowania o rozwiązanie bez przeprowadzania postępowania likwidacyjnego podmiot, wobec którego wszczęto postępowanie nie wykaże, że faktycznie prowadzi działalność lub posiada zbywalny majątek, a  okoliczności te nie wynikają z informacji uzyskanych w trybie art. 25a ust. 1a, art. 25c lub zgłoszonych przez osoby trzecie, domniemywa się, że nie posiada on zbywalnego majątku i faktycznie nie prowadzi działalności.”;</w:t>
      </w:r>
    </w:p>
    <w:bookmarkEnd w:id="31"/>
    <w:p w14:paraId="4E4823E9" w14:textId="77777777" w:rsidR="00D5055F" w:rsidRPr="00D5055F" w:rsidRDefault="00D5055F" w:rsidP="00D5055F">
      <w:pPr>
        <w:pStyle w:val="PKTpunkt"/>
      </w:pPr>
      <w:r w:rsidRPr="00D5055F">
        <w:t>18)</w:t>
      </w:r>
      <w:r w:rsidRPr="00D5055F">
        <w:tab/>
        <w:t>w art. 25d:</w:t>
      </w:r>
    </w:p>
    <w:p w14:paraId="40968287" w14:textId="77777777" w:rsidR="00D5055F" w:rsidRPr="00D5055F" w:rsidRDefault="00D5055F" w:rsidP="00D5055F">
      <w:pPr>
        <w:pStyle w:val="LITlitera"/>
      </w:pPr>
      <w:r w:rsidRPr="00D5055F">
        <w:t>a)</w:t>
      </w:r>
      <w:r w:rsidRPr="00D5055F">
        <w:tab/>
        <w:t>ust. 1 otrzymuje brzmienie:</w:t>
      </w:r>
    </w:p>
    <w:p w14:paraId="691A498F" w14:textId="77777777" w:rsidR="00D5055F" w:rsidRPr="00D5055F" w:rsidRDefault="00D5055F" w:rsidP="00D5055F">
      <w:pPr>
        <w:pStyle w:val="ZLITUSTzmustliter"/>
      </w:pPr>
      <w:bookmarkStart w:id="32" w:name="_Hlk135243739"/>
      <w:r w:rsidRPr="00D5055F">
        <w:t>„1. Jeżeli podmiot wpisany do Rejestru nie posiada zbywalnego majątku i faktycznie nie prowadzi działalności, sąd rejestrowy orzeka o jego rozwiązaniu bez przeprowadzania postępowania likwidacyjnego. W postanowieniu o rozwiązaniu podmiotu sąd orzeka o jego wykreśleniu z Rejestru.”,</w:t>
      </w:r>
    </w:p>
    <w:bookmarkEnd w:id="32"/>
    <w:p w14:paraId="3084EEF5" w14:textId="77777777" w:rsidR="00D5055F" w:rsidRPr="00D5055F" w:rsidRDefault="00D5055F" w:rsidP="00D5055F">
      <w:pPr>
        <w:pStyle w:val="LITlitera"/>
      </w:pPr>
      <w:r w:rsidRPr="00D5055F">
        <w:t>b)</w:t>
      </w:r>
      <w:r w:rsidRPr="00D5055F">
        <w:tab/>
        <w:t>w ust. 3 dodaje się zdanie drugie w brzmieniu:</w:t>
      </w:r>
    </w:p>
    <w:p w14:paraId="76CFF814" w14:textId="7AD3397F" w:rsidR="00D5055F" w:rsidRPr="00D5055F" w:rsidRDefault="00D5055F" w:rsidP="00D5055F">
      <w:pPr>
        <w:pStyle w:val="ZLITFRAGzmlitfragmentunpzdanialiter"/>
      </w:pPr>
      <w:bookmarkStart w:id="33" w:name="_Hlk135243827"/>
      <w:r w:rsidRPr="00D5055F">
        <w:t>„W postanowieniu o umorzeniu postępowania sąd rejestrowy orzeka o wykreśleniu z Rejestru wzmianki o prowadzeniu tego postępowania.”;</w:t>
      </w:r>
      <w:bookmarkEnd w:id="33"/>
    </w:p>
    <w:p w14:paraId="236D179F" w14:textId="77777777" w:rsidR="00D5055F" w:rsidRPr="00D5055F" w:rsidRDefault="00D5055F" w:rsidP="00D5055F">
      <w:pPr>
        <w:pStyle w:val="PKTpunkt"/>
      </w:pPr>
      <w:r w:rsidRPr="00D5055F">
        <w:t>19)</w:t>
      </w:r>
      <w:r w:rsidRPr="00D5055F">
        <w:tab/>
        <w:t>w art. 38:</w:t>
      </w:r>
    </w:p>
    <w:p w14:paraId="2B2FE815" w14:textId="77777777" w:rsidR="00D5055F" w:rsidRPr="00D5055F" w:rsidRDefault="00D5055F" w:rsidP="00D5055F">
      <w:pPr>
        <w:pStyle w:val="LITlitera"/>
      </w:pPr>
      <w:r w:rsidRPr="00D5055F">
        <w:t>a)</w:t>
      </w:r>
      <w:r w:rsidRPr="00D5055F">
        <w:tab/>
        <w:t>w pkt 1 po lit. c dodaje się lit. ca i cb:</w:t>
      </w:r>
    </w:p>
    <w:p w14:paraId="67E745BE" w14:textId="77777777" w:rsidR="00D5055F" w:rsidRPr="00D5055F" w:rsidRDefault="00D5055F" w:rsidP="00D5055F">
      <w:pPr>
        <w:pStyle w:val="ZLITLITwPKTzmlitwpktliter"/>
      </w:pPr>
      <w:bookmarkStart w:id="34" w:name="_Hlk135243953"/>
      <w:r w:rsidRPr="00D5055F">
        <w:t>„ca)</w:t>
      </w:r>
      <w:r w:rsidRPr="00D5055F">
        <w:tab/>
        <w:t>w przypadku określonym w art. 24 ust. 2a – wzmiankę o niewykonywaniu obowiązku złożenia dokumentów finansowych pomimo wezwania sądu,</w:t>
      </w:r>
    </w:p>
    <w:p w14:paraId="2E6B7B3E" w14:textId="77777777" w:rsidR="00D5055F" w:rsidRPr="00D5055F" w:rsidRDefault="00D5055F" w:rsidP="00D5055F">
      <w:pPr>
        <w:pStyle w:val="ZLITLITwPKTzmlitwpktliter"/>
      </w:pPr>
      <w:r w:rsidRPr="00D5055F">
        <w:t>cb)</w:t>
      </w:r>
      <w:r w:rsidRPr="00D5055F">
        <w:tab/>
        <w:t xml:space="preserve">w przypadkach określonych w art. 25a ust. 1 i 1a – </w:t>
      </w:r>
      <w:bookmarkStart w:id="35" w:name="_Hlk124942438"/>
      <w:r w:rsidRPr="00D5055F">
        <w:t>wzmiankę o prowadzeniu postępowania o rozwiązanie podmiotu wpisanego do Rejestru bez przeprowadzania postępowania likwidacyjnego</w:t>
      </w:r>
      <w:bookmarkEnd w:id="35"/>
      <w:r w:rsidRPr="00D5055F">
        <w:t>,”,</w:t>
      </w:r>
    </w:p>
    <w:p w14:paraId="6C63BE9B" w14:textId="77777777" w:rsidR="00D5055F" w:rsidRPr="00D5055F" w:rsidRDefault="00D5055F" w:rsidP="00D5055F">
      <w:pPr>
        <w:pStyle w:val="LITlitera"/>
      </w:pPr>
      <w:r w:rsidRPr="00D5055F">
        <w:t>b)</w:t>
      </w:r>
      <w:r w:rsidRPr="00D5055F">
        <w:tab/>
        <w:t>po pkt 1a dodaje się pkt 1b w brzmieniu:</w:t>
      </w:r>
    </w:p>
    <w:p w14:paraId="49942C48" w14:textId="77777777" w:rsidR="00D5055F" w:rsidRPr="00D5055F" w:rsidRDefault="00D5055F" w:rsidP="00D5055F">
      <w:pPr>
        <w:pStyle w:val="ZLITPKTzmpktliter"/>
      </w:pPr>
      <w:r w:rsidRPr="00D5055F">
        <w:t>„1b)</w:t>
      </w:r>
      <w:r w:rsidRPr="00D5055F">
        <w:tab/>
        <w:t>w przypadku spółki komandytowo-akcyjnej oraz spółki akcyjnej informację,                        czy spółka jest spółką publiczną w rozumieniu art. 4 pkt 20 ustawy z dnia 29 lipca 2005 r. o ofercie publicznej i warunkach wprowadzania instrumentów finansowych do zorganizowanego systemu obrotu oraz o spółkach publicznych Dz. U z 2025 r. poz. 592);”;</w:t>
      </w:r>
    </w:p>
    <w:bookmarkEnd w:id="34"/>
    <w:p w14:paraId="54739641" w14:textId="77777777" w:rsidR="00D5055F" w:rsidRPr="00D5055F" w:rsidRDefault="00D5055F" w:rsidP="00D5055F">
      <w:pPr>
        <w:pStyle w:val="PKTpunkt"/>
      </w:pPr>
      <w:r w:rsidRPr="00D5055F">
        <w:t>20)</w:t>
      </w:r>
      <w:r w:rsidRPr="00D5055F">
        <w:tab/>
        <w:t xml:space="preserve">w art. 45: </w:t>
      </w:r>
    </w:p>
    <w:p w14:paraId="71581C1E" w14:textId="77777777" w:rsidR="00D5055F" w:rsidRPr="00D5055F" w:rsidRDefault="00D5055F" w:rsidP="00D5055F">
      <w:pPr>
        <w:pStyle w:val="LITlitera"/>
      </w:pPr>
      <w:r w:rsidRPr="00D5055F">
        <w:t>a)</w:t>
      </w:r>
      <w:r w:rsidRPr="00D5055F">
        <w:tab/>
        <w:t>w ust. 1 po wyrazach „w upadłości” dodaje się wyrazy „</w:t>
      </w:r>
      <w:bookmarkStart w:id="36" w:name="_Hlk135244009"/>
      <w:r w:rsidRPr="00D5055F">
        <w:t>albo „w restrukturyzacji</w:t>
      </w:r>
      <w:bookmarkEnd w:id="36"/>
      <w:r w:rsidRPr="00D5055F">
        <w:t>”,</w:t>
      </w:r>
    </w:p>
    <w:p w14:paraId="5C3BA94D" w14:textId="77777777" w:rsidR="00D5055F" w:rsidRPr="00D5055F" w:rsidRDefault="00D5055F" w:rsidP="00D5055F">
      <w:pPr>
        <w:pStyle w:val="LITlitera"/>
      </w:pPr>
      <w:r w:rsidRPr="00D5055F">
        <w:t>b)</w:t>
      </w:r>
      <w:r w:rsidRPr="00D5055F">
        <w:tab/>
        <w:t>po ust. 8 dodaje się ust. 9 w brzmieniu:</w:t>
      </w:r>
    </w:p>
    <w:p w14:paraId="77DAD94B" w14:textId="77777777" w:rsidR="00D5055F" w:rsidRPr="00D5055F" w:rsidRDefault="00D5055F" w:rsidP="00D5055F">
      <w:pPr>
        <w:pStyle w:val="ZLITUSTzmustliter"/>
      </w:pPr>
      <w:bookmarkStart w:id="37" w:name="_Hlk135244059"/>
      <w:r w:rsidRPr="00D5055F">
        <w:lastRenderedPageBreak/>
        <w:t>„9. Wykreślone wzmianki, o których mowa w art. 38 pkt 1 lit. ca i cb, nie podlegają ujawnieniu.”;</w:t>
      </w:r>
    </w:p>
    <w:bookmarkEnd w:id="37"/>
    <w:p w14:paraId="21CF08C9" w14:textId="77777777" w:rsidR="00D5055F" w:rsidRPr="00D5055F" w:rsidRDefault="00D5055F" w:rsidP="00D5055F">
      <w:pPr>
        <w:pStyle w:val="PKTpunkt"/>
      </w:pPr>
      <w:r w:rsidRPr="00D5055F">
        <w:t>21)</w:t>
      </w:r>
      <w:r w:rsidRPr="00D5055F">
        <w:tab/>
        <w:t>w art. 45a po wyrazach „w upadłości” dodaje się wyrazy „</w:t>
      </w:r>
      <w:bookmarkStart w:id="38" w:name="_Hlk135244091"/>
      <w:r w:rsidRPr="00D5055F">
        <w:t>albo „w restrukturyzacji</w:t>
      </w:r>
      <w:bookmarkEnd w:id="38"/>
      <w:r w:rsidRPr="00D5055F">
        <w:t>””;</w:t>
      </w:r>
    </w:p>
    <w:p w14:paraId="1E90C849" w14:textId="77777777" w:rsidR="00D5055F" w:rsidRPr="00D5055F" w:rsidRDefault="00D5055F" w:rsidP="00D5055F">
      <w:pPr>
        <w:pStyle w:val="PKTpunkt"/>
      </w:pPr>
      <w:r w:rsidRPr="00D5055F">
        <w:t>22)</w:t>
      </w:r>
      <w:r w:rsidRPr="00D5055F">
        <w:tab/>
        <w:t>w art. 49 ust. 1 otrzymuje brzmienie:</w:t>
      </w:r>
    </w:p>
    <w:p w14:paraId="33605404" w14:textId="77777777" w:rsidR="00D5055F" w:rsidRPr="00D5055F" w:rsidRDefault="00D5055F" w:rsidP="00D5055F">
      <w:pPr>
        <w:pStyle w:val="ZUSTzmustartykuempunktem"/>
      </w:pPr>
      <w:r w:rsidRPr="00D5055F">
        <w:t>„1. Stowarzyszenia, inne organizacje społeczne i zawodowe, fundacje oraz samodzielne publiczne zakłady opieki zdrowotnej podlegają obowiązkowi wpisu do rejestru, o którym mowa w art. 1 ust. 2 pkt 2, zgodnie z przepisami rozdziału 2, jeżeli przepisy poniższe nie stanowią inaczej.”;</w:t>
      </w:r>
    </w:p>
    <w:p w14:paraId="1183D979" w14:textId="77777777" w:rsidR="00D5055F" w:rsidRPr="00D5055F" w:rsidRDefault="00D5055F" w:rsidP="00D5055F">
      <w:pPr>
        <w:pStyle w:val="PKTpunkt"/>
      </w:pPr>
      <w:r w:rsidRPr="00D5055F">
        <w:t>23)</w:t>
      </w:r>
      <w:r w:rsidRPr="00D5055F">
        <w:tab/>
        <w:t>art. 50 otrzymuje brzmienie:</w:t>
      </w:r>
    </w:p>
    <w:p w14:paraId="0A3ABD65" w14:textId="77777777" w:rsidR="00D5055F" w:rsidRPr="00D5055F" w:rsidRDefault="00D5055F" w:rsidP="00D5055F">
      <w:pPr>
        <w:pStyle w:val="ZUSTzmustartykuempunktem"/>
      </w:pPr>
      <w:r w:rsidRPr="00D5055F">
        <w:t>„Art. 50 Jeżeli podmiot wpisany do rejestru, o którym mowa w art. 1 ust. 2 pkt 2, podejmuje działalność gospodarczą, podlega obowiązkowi wpisu także do rejestru, o którym mowa w art. 1 ust. 2 pkt 1, z wyjątkiem samodzielnego publicznego zakładu opieki zdrowotnej.”;</w:t>
      </w:r>
    </w:p>
    <w:p w14:paraId="0A807548" w14:textId="77777777" w:rsidR="00D5055F" w:rsidRPr="00D5055F" w:rsidRDefault="00D5055F" w:rsidP="00D5055F">
      <w:pPr>
        <w:pStyle w:val="PKTpunkt"/>
      </w:pPr>
      <w:r w:rsidRPr="00D5055F">
        <w:t>24)</w:t>
      </w:r>
      <w:r w:rsidRPr="00D5055F">
        <w:tab/>
        <w:t>art. 53a otrzymuje brzmienie:</w:t>
      </w:r>
    </w:p>
    <w:p w14:paraId="7D1FF75C" w14:textId="77777777" w:rsidR="00D5055F" w:rsidRPr="00D5055F" w:rsidRDefault="00D5055F" w:rsidP="00D5055F">
      <w:pPr>
        <w:pStyle w:val="ZARTzmartartykuempunktem"/>
      </w:pPr>
      <w:bookmarkStart w:id="39" w:name="_Hlk135244184"/>
      <w:r w:rsidRPr="00D5055F">
        <w:t>„Art. 53a. 1. Podmioty podlegające obowiązkowi wpisu do rejestru, o którym mowa w art. 1 ust. 2 pkt 2, są obowiązane zgłaszać dotyczące ich informacje wymienione w art. 38 pkt 1, z wyłączeniem adresu do doręczeń elektronicznych, i pkt 3, art. 39 pkt 1-2 i 5, art. 44 ust. 1 pkt 1, 2, 3, 4 i 5, art. 52 i art. 53 oraz zmiany tych informacji, niezależnie od obowiązków wynikających z odrębnych przepisów, chyba że ustawa stanowi inaczej.</w:t>
      </w:r>
    </w:p>
    <w:p w14:paraId="4E618B11" w14:textId="77777777" w:rsidR="00D5055F" w:rsidRPr="00D5055F" w:rsidRDefault="00D5055F" w:rsidP="00D5055F">
      <w:pPr>
        <w:pStyle w:val="ZARTzmartartykuempunktem"/>
      </w:pPr>
      <w:r w:rsidRPr="00D5055F">
        <w:t>2. Podmioty, na których wniosek został dokonany wpis danych, o których mowa w art. 38 pkt 1a, mają obowiązek zgłaszać zmianę tych danych.”.</w:t>
      </w:r>
    </w:p>
    <w:bookmarkEnd w:id="39"/>
    <w:p w14:paraId="677B2E0D" w14:textId="02DDE615" w:rsidR="00D5055F" w:rsidRPr="00D5055F" w:rsidRDefault="00D5055F" w:rsidP="00D5055F">
      <w:pPr>
        <w:pStyle w:val="ARTartustawynprozporzdzenia"/>
      </w:pPr>
      <w:r w:rsidRPr="008267F0">
        <w:rPr>
          <w:rStyle w:val="Ppogrubienie"/>
        </w:rPr>
        <w:t xml:space="preserve">Art. </w:t>
      </w:r>
      <w:r w:rsidR="008267F0" w:rsidRPr="008267F0">
        <w:rPr>
          <w:rStyle w:val="Ppogrubienie"/>
        </w:rPr>
        <w:t>2</w:t>
      </w:r>
      <w:r w:rsidRPr="008267F0">
        <w:rPr>
          <w:rStyle w:val="Ppogrubienie"/>
        </w:rPr>
        <w:t>.</w:t>
      </w:r>
      <w:r w:rsidRPr="00D5055F">
        <w:t xml:space="preserve"> W ustawie z dnia 17 listopada 1964 r. – Kodeks postępowania cywilnego (Dz. U. z 2024 r. poz. 1568 oraz z 2025 r. poz. 620, 1172, 1302 i 1518) wprowadza się następujące zmiany:</w:t>
      </w:r>
    </w:p>
    <w:p w14:paraId="76C9B3BB" w14:textId="4F3D6229" w:rsidR="00962167" w:rsidRDefault="00D5055F" w:rsidP="00D5055F">
      <w:pPr>
        <w:pStyle w:val="PKTpunkt"/>
      </w:pPr>
      <w:r w:rsidRPr="00D5055F">
        <w:t>1)</w:t>
      </w:r>
      <w:r w:rsidRPr="00D5055F">
        <w:tab/>
      </w:r>
      <w:r w:rsidR="00962167" w:rsidRPr="00962167">
        <w:t>w art. 694</w:t>
      </w:r>
      <w:r w:rsidR="00962167" w:rsidRPr="008267F0">
        <w:rPr>
          <w:rStyle w:val="IGindeksgrny"/>
        </w:rPr>
        <w:t>2a</w:t>
      </w:r>
      <w:r w:rsidR="00962167" w:rsidRPr="00962167">
        <w:t xml:space="preserve"> dotychczasową treść oznacza się jako § 3 i dodaje się § 1 i 2 w brzmieniu:</w:t>
      </w:r>
    </w:p>
    <w:p w14:paraId="03E7A298" w14:textId="2819761C" w:rsidR="00962167" w:rsidRDefault="00962167" w:rsidP="00962167">
      <w:pPr>
        <w:pStyle w:val="ZUSTzmustartykuempunktem"/>
      </w:pPr>
      <w:r w:rsidRPr="00962167">
        <w:t>„§ 1. Jeżeli wniosek złożono za pośrednictwem systemu teleinformatycznego, a warunki organizacyjn</w:t>
      </w:r>
      <w:r w:rsidR="00A2026E">
        <w:t xml:space="preserve">e i </w:t>
      </w:r>
      <w:r w:rsidRPr="00962167">
        <w:t>techniczne</w:t>
      </w:r>
      <w:r w:rsidR="008267F0">
        <w:t xml:space="preserve"> tego systemu</w:t>
      </w:r>
      <w:r w:rsidRPr="00962167">
        <w:t xml:space="preserve"> na to pozwalają, postępowanie odbywa się za pośrednictwem tego systemu.</w:t>
      </w:r>
    </w:p>
    <w:p w14:paraId="3F26F55D" w14:textId="22EDFBD3" w:rsidR="00C368DE" w:rsidRDefault="00C368DE" w:rsidP="008267F0">
      <w:pPr>
        <w:pStyle w:val="ZUSTzmustartykuempunktem"/>
      </w:pPr>
      <w:r w:rsidRPr="00C368DE">
        <w:t xml:space="preserve">§ </w:t>
      </w:r>
      <w:r>
        <w:t xml:space="preserve">2. </w:t>
      </w:r>
      <w:r w:rsidRPr="00C368DE">
        <w:t xml:space="preserve">Postępowanie przed sądem rejestrowym prowadzącym Krajowy Rejestr Sądowy dotyczące podmiotu podlegającego </w:t>
      </w:r>
      <w:r w:rsidR="008267F0">
        <w:t>obowiązkowi wpisu</w:t>
      </w:r>
      <w:r w:rsidRPr="00C368DE">
        <w:t xml:space="preserve"> do rejestru, o którym mowa w art. 1 ust. 2 pkt 1, lub do rejestru, o którym mowa w art. 1 ust. 2 pkt 2 ustawy z dnia 20 sierpnia 1997 r. o Krajowym Rejestrze Sądowym, odbywa się za pośrednictwem systemu teleinformatycznego.”;</w:t>
      </w:r>
    </w:p>
    <w:p w14:paraId="7BA29F55" w14:textId="73023086" w:rsidR="00D5055F" w:rsidRPr="00D5055F" w:rsidRDefault="00962167" w:rsidP="00D5055F">
      <w:pPr>
        <w:pStyle w:val="PKTpunkt"/>
      </w:pPr>
      <w:r>
        <w:lastRenderedPageBreak/>
        <w:t>2)</w:t>
      </w:r>
      <w:r>
        <w:tab/>
      </w:r>
      <w:r w:rsidR="00D5055F" w:rsidRPr="00D5055F">
        <w:t>w art. 694</w:t>
      </w:r>
      <w:r w:rsidR="00D5055F" w:rsidRPr="00D5055F">
        <w:rPr>
          <w:rStyle w:val="IGindeksgrny"/>
        </w:rPr>
        <w:t>3</w:t>
      </w:r>
      <w:r w:rsidR="00D5055F" w:rsidRPr="00D5055F">
        <w:t xml:space="preserve"> uchyla się § 6;</w:t>
      </w:r>
    </w:p>
    <w:p w14:paraId="28C76E53" w14:textId="030C46D9" w:rsidR="00D5055F" w:rsidRDefault="008267F0" w:rsidP="00D5055F">
      <w:pPr>
        <w:pStyle w:val="PKTpunkt"/>
      </w:pPr>
      <w:r>
        <w:t>3</w:t>
      </w:r>
      <w:r w:rsidR="00D5055F" w:rsidRPr="00D5055F">
        <w:t>)</w:t>
      </w:r>
      <w:r w:rsidR="00D5055F" w:rsidRPr="00D5055F">
        <w:tab/>
        <w:t>w art. 694</w:t>
      </w:r>
      <w:r w:rsidR="00D5055F" w:rsidRPr="00D5055F">
        <w:rPr>
          <w:rStyle w:val="IGindeksgrny"/>
        </w:rPr>
        <w:t>3a</w:t>
      </w:r>
      <w:r w:rsidR="00D5055F" w:rsidRPr="00D5055F">
        <w:t>:</w:t>
      </w:r>
    </w:p>
    <w:p w14:paraId="736071FF" w14:textId="70486393" w:rsidR="00B13975" w:rsidRDefault="00B13975" w:rsidP="00B13975">
      <w:pPr>
        <w:pStyle w:val="LITlitera"/>
      </w:pPr>
      <w:r>
        <w:t>a)</w:t>
      </w:r>
      <w:r>
        <w:tab/>
      </w:r>
      <w:r w:rsidRPr="00B13975">
        <w:t>w § 1 zdanie pierwsze otrzymuje brzmienie:</w:t>
      </w:r>
    </w:p>
    <w:p w14:paraId="7FFAA932" w14:textId="03869C6E" w:rsidR="00B13975" w:rsidRDefault="00B13975" w:rsidP="008267F0">
      <w:pPr>
        <w:pStyle w:val="ZLITFRAGzmlitfragmentunpzdanialiter"/>
      </w:pPr>
      <w:r w:rsidRPr="00B13975">
        <w:t>„Jeżeli postępowanie przed sądem rejestrowym odbywa się za pośrednictwem systemu teleinformatycznego, a przepis szczególny nie stanowi inaczej, wszelkie pisma w tym postępowaniu wnosi się wyłącznie za pośrednictwem systemu teleinformatycznego, z wyłączeniem środków zaskarżenia, do których rozpoznania właściwy jest Sąd Najwyższy.”,</w:t>
      </w:r>
    </w:p>
    <w:p w14:paraId="7344CF25" w14:textId="3566FEE2" w:rsidR="00B13975" w:rsidRPr="00D5055F" w:rsidRDefault="00B13975" w:rsidP="008267F0">
      <w:pPr>
        <w:pStyle w:val="LITlitera"/>
      </w:pPr>
      <w:r>
        <w:t>b)</w:t>
      </w:r>
      <w:r>
        <w:tab/>
      </w:r>
      <w:r w:rsidR="00D71A18" w:rsidRPr="00D71A18">
        <w:t xml:space="preserve">w § </w:t>
      </w:r>
      <w:r w:rsidR="00D71A18">
        <w:t>3</w:t>
      </w:r>
      <w:r w:rsidR="00D71A18" w:rsidRPr="00D71A18">
        <w:t xml:space="preserve"> zdanie pierwsze otrzymuje brzmienie:</w:t>
      </w:r>
    </w:p>
    <w:p w14:paraId="05E0361B" w14:textId="25F963DB" w:rsidR="00D5055F" w:rsidRPr="00D5055F" w:rsidRDefault="00D5055F" w:rsidP="008267F0">
      <w:pPr>
        <w:pStyle w:val="ZLITFRAGzmlitfragmentunpzdanialiter"/>
      </w:pPr>
      <w:r w:rsidRPr="00D5055F">
        <w:t>„Jeżeli pismo</w:t>
      </w:r>
      <w:r w:rsidR="00D71A18">
        <w:t xml:space="preserve"> w postępowaniu odbywającym się za pośrednictwem systemu teleinformatycznego</w:t>
      </w:r>
      <w:r w:rsidRPr="00D5055F">
        <w:t xml:space="preserve"> nie zostało wniesione za pośrednictwem</w:t>
      </w:r>
      <w:r w:rsidR="00D71A18">
        <w:t xml:space="preserve"> tego</w:t>
      </w:r>
      <w:r w:rsidRPr="00D5055F">
        <w:t xml:space="preserve"> systemu, a wnoszący pismo nie był pouczony o treści art. 125 § 2</w:t>
      </w:r>
      <w:r w:rsidRPr="00D5055F">
        <w:rPr>
          <w:rStyle w:val="IGindeksgrny"/>
        </w:rPr>
        <w:t>1</w:t>
      </w:r>
      <w:r w:rsidRPr="00D5055F">
        <w:t xml:space="preserve"> zdanie drugie, przewodniczący wzywa do wniesienia pisma za pośrednictwem systemu teleinformatycznego w terminie tygodniowym od dnia doręczenia wezwania, pouczając o treści tego przepisu.”;</w:t>
      </w:r>
    </w:p>
    <w:p w14:paraId="05885605" w14:textId="7A76C9CE" w:rsidR="00D5055F" w:rsidRPr="00D5055F" w:rsidRDefault="00456B00" w:rsidP="00D5055F">
      <w:pPr>
        <w:pStyle w:val="PKTpunkt"/>
      </w:pPr>
      <w:r>
        <w:t>4</w:t>
      </w:r>
      <w:r w:rsidR="00D5055F" w:rsidRPr="00D5055F">
        <w:t>)</w:t>
      </w:r>
      <w:r w:rsidR="00D5055F" w:rsidRPr="00D5055F">
        <w:tab/>
        <w:t>w art. 694</w:t>
      </w:r>
      <w:r w:rsidR="00D5055F" w:rsidRPr="00D5055F">
        <w:rPr>
          <w:rStyle w:val="IGindeksgrny"/>
        </w:rPr>
        <w:t>6</w:t>
      </w:r>
      <w:r w:rsidR="00D5055F" w:rsidRPr="00D5055F">
        <w:t xml:space="preserve"> po § 3 dodaje się § 4 i 5 w brzmieniu:</w:t>
      </w:r>
    </w:p>
    <w:p w14:paraId="5A58B7BC" w14:textId="601404BD" w:rsidR="00D5055F" w:rsidRPr="00D5055F" w:rsidRDefault="00D5055F" w:rsidP="00753E85">
      <w:pPr>
        <w:pStyle w:val="ZUSTzmustartykuempunktem"/>
      </w:pPr>
      <w:r w:rsidRPr="00D5055F">
        <w:t xml:space="preserve">„§ 4. </w:t>
      </w:r>
      <w:r w:rsidR="00753E85">
        <w:t>W postępowaniach odbywających się</w:t>
      </w:r>
      <w:r w:rsidR="00500ADE">
        <w:t xml:space="preserve"> za pośrednictwem systemu teleinformatycznego</w:t>
      </w:r>
      <w:r w:rsidR="00753E85">
        <w:t xml:space="preserve"> sąd dokonuje doręczeń podmiotowi podlegającemu</w:t>
      </w:r>
      <w:r w:rsidRPr="00D5055F">
        <w:t xml:space="preserve"> obowiązkowi wpisu do rejestru, o którym mowa w art. 1 ust. 2 pkt 1, lub do rejestru, o którym mowa w art. 1 ust. 2 pkt 2 ustawy z dnia 20 sierpnia 1997 r. o Krajowym Rejestrze Sądowym, </w:t>
      </w:r>
      <w:r w:rsidR="00753E85">
        <w:t>dla którego założono konto</w:t>
      </w:r>
      <w:r w:rsidRPr="00D5055F">
        <w:t>,</w:t>
      </w:r>
      <w:r w:rsidR="00753E85">
        <w:t xml:space="preserve"> o którym mowa w art. 53d </w:t>
      </w:r>
      <w:r w:rsidR="00753E85" w:rsidRPr="00753E85">
        <w:t>ustawy z dnia 27 lipca 2001 r. – Prawo o ustroju sądów powszechnych</w:t>
      </w:r>
      <w:r w:rsidR="00500ADE">
        <w:t xml:space="preserve">, na to konto, </w:t>
      </w:r>
      <w:r w:rsidRPr="00D5055F">
        <w:t xml:space="preserve"> </w:t>
      </w:r>
      <w:r w:rsidR="00500ADE">
        <w:t>jeżeli został o</w:t>
      </w:r>
      <w:r w:rsidR="006D634F">
        <w:t>n o</w:t>
      </w:r>
      <w:r w:rsidR="00500ADE">
        <w:t xml:space="preserve"> tym pouczony</w:t>
      </w:r>
      <w:r w:rsidRPr="00D5055F">
        <w:t>.</w:t>
      </w:r>
    </w:p>
    <w:p w14:paraId="188D90CC" w14:textId="2D4988D2" w:rsidR="00D5055F" w:rsidRPr="00D5055F" w:rsidRDefault="00D5055F" w:rsidP="00D5055F">
      <w:pPr>
        <w:pStyle w:val="ZUSTzmustartykuempunktem"/>
      </w:pPr>
      <w:r w:rsidRPr="00D5055F">
        <w:t xml:space="preserve">§ 5. Pismo adresowane do podmiotu, o którym mowa w § 4, dla którego nie założono konta w systemie teleinformatycznym, a który został pouczony o treści § 4, pozostawia się w aktach sprawy ze skutkiem doręczenia.”. </w:t>
      </w:r>
    </w:p>
    <w:p w14:paraId="09F8B25C" w14:textId="71620C25" w:rsidR="00D5055F" w:rsidRPr="00D5055F" w:rsidRDefault="00D5055F" w:rsidP="00D5055F">
      <w:pPr>
        <w:pStyle w:val="ARTartustawynprozporzdzenia"/>
      </w:pPr>
      <w:r w:rsidRPr="00D5055F">
        <w:rPr>
          <w:rStyle w:val="Ppogrubienie"/>
        </w:rPr>
        <w:t xml:space="preserve">Art. </w:t>
      </w:r>
      <w:r w:rsidR="004B0B5F">
        <w:rPr>
          <w:rStyle w:val="Ppogrubienie"/>
        </w:rPr>
        <w:t>3</w:t>
      </w:r>
      <w:r w:rsidRPr="00D5055F">
        <w:rPr>
          <w:rStyle w:val="Ppogrubienie"/>
        </w:rPr>
        <w:t>.</w:t>
      </w:r>
      <w:bookmarkStart w:id="40" w:name="_Hlk124852053"/>
      <w:r w:rsidRPr="00D5055F">
        <w:t xml:space="preserve"> W ustawie z dnia 14 lutego 1991 r. – Prawo o notariacie (Dz. U. z 2024 r. poz. 1001 oraz z 2025 r. poz. 479, 1669, 1793 oraz z 2026 r. poz. 26):</w:t>
      </w:r>
      <w:bookmarkEnd w:id="40"/>
    </w:p>
    <w:p w14:paraId="24DF3B81" w14:textId="77777777" w:rsidR="00D5055F" w:rsidRPr="00D5055F" w:rsidRDefault="00D5055F" w:rsidP="00D5055F">
      <w:pPr>
        <w:pStyle w:val="PKTpunkt"/>
      </w:pPr>
      <w:r w:rsidRPr="00D5055F">
        <w:t>1)</w:t>
      </w:r>
      <w:r w:rsidRPr="00D5055F">
        <w:tab/>
        <w:t xml:space="preserve">w art. 92 § 11 otrzymuje brzmienie: </w:t>
      </w:r>
    </w:p>
    <w:p w14:paraId="22FA93AA" w14:textId="77777777" w:rsidR="00D5055F" w:rsidRPr="00D5055F" w:rsidRDefault="00D5055F" w:rsidP="00D5055F">
      <w:pPr>
        <w:pStyle w:val="ZARTzmartartykuempunktem"/>
      </w:pPr>
      <w:r w:rsidRPr="00D5055F">
        <w:t xml:space="preserve">„§ 11. Jeżeli akt notarialny stanowi podstawę wpisu do Krajowego Rejestru Sądowego albo podlega złożeniu do akt rejestrowych podmiotu wpisanego do tego rejestru, notariusz poucza strony aktu o sposobie i trybie składania wniosku w postępowaniu rejestrowym oraz o obowiązku podania we wniosku numeru wypisu lub wyciągu w Centralnym Repozytorium Elektronicznych Wypisów Aktów Notarialnych, a </w:t>
      </w:r>
      <w:r w:rsidRPr="00D5055F">
        <w:lastRenderedPageBreak/>
        <w:t>także o treści art. 19aa ustawy z dnia 20 sierpnia 1997 r. o Krajowym Rejestrze Sądowym (Dz. U. z 2025 r. poz. 869, 1556 i 1792 oraz z 2026 r. poz. 119 i …). Notariusz poucza również o uprawnieniu wynikającym z art. 92a § 5.”;</w:t>
      </w:r>
    </w:p>
    <w:p w14:paraId="01FFA565" w14:textId="77777777" w:rsidR="00D5055F" w:rsidRPr="00D5055F" w:rsidRDefault="00D5055F" w:rsidP="00D5055F">
      <w:pPr>
        <w:pStyle w:val="PKTpunkt"/>
      </w:pPr>
      <w:r w:rsidRPr="00D5055F">
        <w:t>2)</w:t>
      </w:r>
      <w:r w:rsidRPr="00D5055F">
        <w:tab/>
        <w:t>w art. 92a § 2 otrzymuje brzmienie:</w:t>
      </w:r>
    </w:p>
    <w:p w14:paraId="4778D5DA" w14:textId="77777777" w:rsidR="00D5055F" w:rsidRPr="00D5055F" w:rsidRDefault="00D5055F" w:rsidP="00D5055F">
      <w:pPr>
        <w:pStyle w:val="ZUSTzmustartykuempunktem"/>
      </w:pPr>
      <w:r w:rsidRPr="00D5055F">
        <w:t>„§ 2. Niezwłocznie po sporządzeniu aktu notarialnego stanowiącego podstawę wpisu do Krajowego Rejestru Sądowego albo podlegającego złożeniu do akt rejestrowych podmiotu wpisanego do tego rejestru notariusz umieszcza jego elektroniczny wypis w Repozytorium. Notariusz opatruje wypis kwalifikowanym podpisem elektronicznym.”.</w:t>
      </w:r>
    </w:p>
    <w:p w14:paraId="01B0F4F4" w14:textId="0CC908CC" w:rsidR="00D5055F" w:rsidRPr="00D5055F" w:rsidRDefault="00D5055F" w:rsidP="00D5055F">
      <w:pPr>
        <w:pStyle w:val="ARTartustawynprozporzdzenia"/>
      </w:pPr>
      <w:r w:rsidRPr="00D5055F">
        <w:rPr>
          <w:rStyle w:val="Ppogrubienie"/>
        </w:rPr>
        <w:t xml:space="preserve">Art. </w:t>
      </w:r>
      <w:r w:rsidR="004B0B5F">
        <w:rPr>
          <w:rStyle w:val="Ppogrubienie"/>
        </w:rPr>
        <w:t>4</w:t>
      </w:r>
      <w:r w:rsidRPr="00D5055F">
        <w:rPr>
          <w:rStyle w:val="Ppogrubienie"/>
        </w:rPr>
        <w:t>.</w:t>
      </w:r>
      <w:r w:rsidRPr="00D5055F">
        <w:t xml:space="preserve"> </w:t>
      </w:r>
      <w:bookmarkStart w:id="41" w:name="_Hlk124852061"/>
      <w:r w:rsidRPr="00D5055F">
        <w:t>W ustawie z dnia 29 września 1994 r. o rachunkowości (Dz. U. z 2023 r. poz. 120, z późn. zm.</w:t>
      </w:r>
      <w:r>
        <w:rPr>
          <w:rStyle w:val="Odwoanieprzypisudolnego"/>
        </w:rPr>
        <w:footnoteReference w:id="4"/>
      </w:r>
      <w:r>
        <w:rPr>
          <w:rStyle w:val="IGindeksgrny"/>
        </w:rPr>
        <w:t>)</w:t>
      </w:r>
      <w:r w:rsidRPr="00D5055F">
        <w:t>) art. 70a otrzymuje brzmienie:</w:t>
      </w:r>
      <w:bookmarkEnd w:id="41"/>
    </w:p>
    <w:p w14:paraId="7CB1D635" w14:textId="77777777" w:rsidR="00D5055F" w:rsidRPr="00D5055F" w:rsidRDefault="00D5055F" w:rsidP="00D5055F">
      <w:pPr>
        <w:pStyle w:val="ZARTzmartartykuempunktem"/>
      </w:pPr>
      <w:r w:rsidRPr="00D5055F">
        <w:t>„Art. 70a. Kierownik jednostki będącej spółką jawną osób fizycznych lub spółką partnerską, której przychody netto ze sprzedaży towarów i produktów za poprzedni rok obrotowy wyniosły mniej niż równowartość w walucie polskiej 2 500 000 euro, i która nie stosuje zasad rachunkowości określonych ustawą na podstawie art. 2 ust. 2, oraz kierownik jednostki wpisanej do rejestru przedsiębiorców Krajowego Rejestru Sądowego, która nie zamknęła ksiąg rachunkowych za rok obrotowy, w którym działalność jednostki przez cały czas pozostawała zawieszona, składa we właściwym rejestrze sądowym w terminie 6 miesięcy od dnia kończącego rok obrotowy, oświadczenie o braku obowiązku sporządzenia i złożenia rocznego sprawozdania finansowego.”.</w:t>
      </w:r>
    </w:p>
    <w:p w14:paraId="4D73977B" w14:textId="540C3753" w:rsidR="00D5055F" w:rsidRPr="00D5055F" w:rsidRDefault="00D5055F" w:rsidP="00D5055F">
      <w:pPr>
        <w:pStyle w:val="ARTartustawynprozporzdzenia"/>
      </w:pPr>
      <w:r w:rsidRPr="00D5055F">
        <w:rPr>
          <w:rStyle w:val="Ppogrubienie"/>
        </w:rPr>
        <w:t xml:space="preserve">Art. </w:t>
      </w:r>
      <w:r w:rsidR="004B0B5F">
        <w:rPr>
          <w:rStyle w:val="Ppogrubienie"/>
        </w:rPr>
        <w:t>5</w:t>
      </w:r>
      <w:r w:rsidRPr="00D5055F">
        <w:rPr>
          <w:rStyle w:val="Ppogrubienie"/>
        </w:rPr>
        <w:t>.</w:t>
      </w:r>
      <w:r w:rsidRPr="00D5055F">
        <w:t xml:space="preserve"> W </w:t>
      </w:r>
      <w:bookmarkStart w:id="42" w:name="_Hlk124852068"/>
      <w:r w:rsidRPr="00D5055F">
        <w:t xml:space="preserve">ustawie z dnia 13 października 1998 r. o systemie ubezpieczeń społecznych (Dz. U. z 2025 r. poz. </w:t>
      </w:r>
      <w:bookmarkEnd w:id="42"/>
      <w:r w:rsidRPr="00D5055F">
        <w:t>350, z późn. zm.</w:t>
      </w:r>
      <w:r>
        <w:rPr>
          <w:rStyle w:val="Odwoanieprzypisudolnego"/>
        </w:rPr>
        <w:footnoteReference w:id="5"/>
      </w:r>
      <w:r>
        <w:rPr>
          <w:rStyle w:val="IGindeksgrny"/>
        </w:rPr>
        <w:t>)</w:t>
      </w:r>
      <w:r w:rsidRPr="00D5055F">
        <w:t>) w art. 50 ust. 19 otrzymuje brzmienie:</w:t>
      </w:r>
    </w:p>
    <w:p w14:paraId="66872D90" w14:textId="31918DBD" w:rsidR="00D5055F" w:rsidRPr="00D5055F" w:rsidRDefault="00D5055F" w:rsidP="00D5055F">
      <w:pPr>
        <w:pStyle w:val="ZUSTzmustartykuempunktem"/>
      </w:pPr>
      <w:r w:rsidRPr="00D5055F">
        <w:t xml:space="preserve">„19. Na żądanie sądu rejestrowego prowadzącego postępowanie o rozwiązanie podmiotu wpisanego do Krajowego Rejestru Sądowego bez przeprowadzania postępowania likwidacyjnego Zakład, bezpłatnie i bez zbędnej zwłoki, przekazuje posiadane informacje i dokumenty mogące mieć znaczenie do ustalenia przez </w:t>
      </w:r>
      <w:r w:rsidR="00721AA4">
        <w:t xml:space="preserve">ten </w:t>
      </w:r>
      <w:r w:rsidRPr="00D5055F">
        <w:t>sąd, czy podmiot ten posiada zbywalny majątek i czy faktycznie prowadzi działalność.</w:t>
      </w:r>
      <w:r w:rsidR="00173C8F">
        <w:t xml:space="preserve"> Przepisu art. 19 ust. 2 </w:t>
      </w:r>
      <w:r w:rsidR="00402EF7" w:rsidRPr="00402EF7">
        <w:t>ustawy z dnia 20 sierpnia 1997 r. o Krajowym Rejestrze Sądowym (Dz. U. z 2025 r. poz. 869, 1566 i 1792 oraz z 2026 r. poz. 119 i ….)</w:t>
      </w:r>
      <w:r w:rsidR="00402EF7">
        <w:t xml:space="preserve"> nie stosuje się.</w:t>
      </w:r>
      <w:r w:rsidRPr="00D5055F">
        <w:t>”.</w:t>
      </w:r>
    </w:p>
    <w:p w14:paraId="6AEBCC05" w14:textId="17578F86" w:rsidR="00D5055F" w:rsidRPr="00D5055F" w:rsidRDefault="00D5055F" w:rsidP="00D5055F">
      <w:pPr>
        <w:pStyle w:val="ARTartustawynprozporzdzenia"/>
      </w:pPr>
      <w:r w:rsidRPr="00D5055F">
        <w:rPr>
          <w:rStyle w:val="Ppogrubienie"/>
        </w:rPr>
        <w:lastRenderedPageBreak/>
        <w:t xml:space="preserve">Art. </w:t>
      </w:r>
      <w:r w:rsidR="004B0B5F">
        <w:rPr>
          <w:rStyle w:val="Ppogrubienie"/>
        </w:rPr>
        <w:t>6</w:t>
      </w:r>
      <w:r w:rsidRPr="00D5055F">
        <w:t xml:space="preserve"> W </w:t>
      </w:r>
      <w:bookmarkStart w:id="43" w:name="_Hlk124852077"/>
      <w:r w:rsidRPr="00D5055F">
        <w:t xml:space="preserve">ustawie </w:t>
      </w:r>
      <w:bookmarkStart w:id="44" w:name="_Hlk105078270"/>
      <w:r w:rsidRPr="00D5055F">
        <w:t xml:space="preserve">z dnia 24 kwietnia 2003 r. o działalności pożytku publicznego i o wolontariacie (Dz. U. z 2024 r. poz. 1491, 1761 i 1940) </w:t>
      </w:r>
      <w:bookmarkEnd w:id="43"/>
      <w:bookmarkEnd w:id="44"/>
      <w:r w:rsidRPr="00D5055F">
        <w:t>w art. 3 w ust. 3 w pkt 4 po wyrazach „spółki akcyjne” stawia się przecinek i dodaje się wyrazy „proste spółki akcyjne”.</w:t>
      </w:r>
    </w:p>
    <w:p w14:paraId="72FECC6E" w14:textId="7CA78314" w:rsidR="00D5055F" w:rsidRPr="00D5055F" w:rsidRDefault="00D5055F" w:rsidP="00D5055F">
      <w:pPr>
        <w:pStyle w:val="ARTartustawynprozporzdzenia"/>
      </w:pPr>
      <w:r w:rsidRPr="00D5055F">
        <w:rPr>
          <w:rStyle w:val="Ppogrubienie"/>
        </w:rPr>
        <w:t xml:space="preserve">Art. </w:t>
      </w:r>
      <w:r w:rsidR="004B0B5F">
        <w:rPr>
          <w:rStyle w:val="Ppogrubienie"/>
        </w:rPr>
        <w:t>7</w:t>
      </w:r>
      <w:r w:rsidRPr="00D5055F">
        <w:rPr>
          <w:rStyle w:val="Ppogrubienie"/>
        </w:rPr>
        <w:t>.</w:t>
      </w:r>
      <w:r w:rsidRPr="00D5055F">
        <w:t xml:space="preserve"> W </w:t>
      </w:r>
      <w:bookmarkStart w:id="45" w:name="_Hlk124852109"/>
      <w:r w:rsidRPr="00D5055F">
        <w:t xml:space="preserve">ustawie z dnia 16 listopada 2016 r. o Krajowej Administracji Skarbowej (Dz. U. z 2025 r. poz. 1131, 1423, 1820 i 1863) </w:t>
      </w:r>
      <w:bookmarkEnd w:id="45"/>
      <w:r w:rsidRPr="00D5055F">
        <w:t>po art. 46a dodaje się art. 46b w brzmieniu:</w:t>
      </w:r>
    </w:p>
    <w:p w14:paraId="33F59877" w14:textId="39AD95F4" w:rsidR="00D5055F" w:rsidRPr="00D5055F" w:rsidRDefault="00D5055F" w:rsidP="00D5055F">
      <w:pPr>
        <w:pStyle w:val="ZARTzmartartykuempunktem"/>
      </w:pPr>
      <w:r w:rsidRPr="00D5055F">
        <w:t xml:space="preserve">„Art. 46b. 1. Na żądanie sądu rejestrowego prowadzącego postępowanie o rozwiązanie podmiotu wpisanego do Krajowego Rejestru Sądowego bez przeprowadzania postępowania likwidacyjnego naczelnik urzędu skarbowego właściwego według ostatniego udostępnionego w Krajowym Rejestrze Sądowym adresu siedziby podmiotu, bezpłatnie i bez zbędnej zwłoki, przekazuje posiadane informacje i dokumenty mogące mieć znaczenie do ustalenia przez </w:t>
      </w:r>
      <w:r w:rsidR="003725EC">
        <w:t xml:space="preserve">ten </w:t>
      </w:r>
      <w:r w:rsidRPr="00D5055F">
        <w:t xml:space="preserve">sąd, czy podmiot ten posiada zbywalny majątek i czy faktycznie prowadzi działalność. Jeżeli podmiot </w:t>
      </w:r>
      <w:r w:rsidR="00855729">
        <w:t xml:space="preserve">uprzednio </w:t>
      </w:r>
      <w:r w:rsidRPr="00D5055F">
        <w:t xml:space="preserve">pozostawał we właściwości innych naczelników urzędów skarbowych informacji udziela się po </w:t>
      </w:r>
      <w:r w:rsidR="004B0B5F">
        <w:t>pozyskaniu</w:t>
      </w:r>
      <w:r w:rsidRPr="00D5055F">
        <w:t xml:space="preserve"> danych posiadanych przez tych naczelników.</w:t>
      </w:r>
      <w:r w:rsidR="00855729">
        <w:t xml:space="preserve"> </w:t>
      </w:r>
      <w:r w:rsidR="00855729" w:rsidRPr="00855729">
        <w:t>Przepisu art. 19 ust. 2 ustawy z dnia 20 sierpnia 1997 r. o Krajowym Rejestrze Sądowym (Dz. U. z 2025 r. poz. 869, 1566 i 1792 oraz z 2026 r. poz. 119 i ….) nie stosuje się.</w:t>
      </w:r>
    </w:p>
    <w:p w14:paraId="6FE6D47C" w14:textId="77777777" w:rsidR="00D5055F" w:rsidRPr="00D5055F" w:rsidRDefault="00D5055F" w:rsidP="00D5055F">
      <w:pPr>
        <w:pStyle w:val="ZUSTzmustartykuempunktem"/>
      </w:pPr>
      <w:r w:rsidRPr="00D5055F">
        <w:t xml:space="preserve">2. W przypadku ustalenia z urzędu przez naczelnika urzędu skarbowego, że podatnik będący podmiotem wpisanym do Krajowego Rejestru Sądowego nie posiada zbywalnego majątku i faktycznie nie prowadzi działalności, naczelnik urzędu skarbowego przekazuje informację w tym zakresie do właściwego sądu rejestrowego.”. </w:t>
      </w:r>
    </w:p>
    <w:p w14:paraId="16EFAF46" w14:textId="193BBD60" w:rsidR="00D5055F" w:rsidRPr="00D5055F" w:rsidRDefault="00D5055F" w:rsidP="00D5055F">
      <w:pPr>
        <w:pStyle w:val="ARTartustawynprozporzdzenia"/>
      </w:pPr>
      <w:r w:rsidRPr="00D5055F">
        <w:rPr>
          <w:rStyle w:val="Ppogrubienie"/>
        </w:rPr>
        <w:t xml:space="preserve">Art. </w:t>
      </w:r>
      <w:r w:rsidR="004B0B5F">
        <w:rPr>
          <w:rStyle w:val="Ppogrubienie"/>
        </w:rPr>
        <w:t>8</w:t>
      </w:r>
      <w:r w:rsidRPr="00D5055F">
        <w:rPr>
          <w:rStyle w:val="Ppogrubienie"/>
        </w:rPr>
        <w:t>.</w:t>
      </w:r>
      <w:r w:rsidRPr="00D5055F">
        <w:t xml:space="preserve"> Do postępowań przed sądem rejestrowym wszczętych i niezakończonych przed dniem wejścia w życie niniejszej ustawy stosuje się przepisy dotychczasowe.</w:t>
      </w:r>
    </w:p>
    <w:p w14:paraId="0423DC69" w14:textId="579C9AB8" w:rsidR="00D5055F" w:rsidRPr="00D5055F" w:rsidRDefault="00D5055F" w:rsidP="00D5055F">
      <w:pPr>
        <w:pStyle w:val="ARTartustawynprozporzdzenia"/>
      </w:pPr>
      <w:r w:rsidRPr="00D5055F">
        <w:rPr>
          <w:rStyle w:val="Ppogrubienie"/>
        </w:rPr>
        <w:t xml:space="preserve">Art. </w:t>
      </w:r>
      <w:r w:rsidR="004B0B5F">
        <w:rPr>
          <w:rStyle w:val="Ppogrubienie"/>
        </w:rPr>
        <w:t>9</w:t>
      </w:r>
      <w:r w:rsidRPr="00D5055F">
        <w:rPr>
          <w:rStyle w:val="Ppogrubienie"/>
        </w:rPr>
        <w:t>.</w:t>
      </w:r>
      <w:r w:rsidRPr="00D5055F">
        <w:t xml:space="preserve"> Do postępowań przymuszających do złożenia dokumentów, o których mowa w art. 9a ust. 2 ustawy zmienianej w art. 1, w których </w:t>
      </w:r>
      <w:bookmarkStart w:id="46" w:name="_Hlk116657595"/>
      <w:r w:rsidRPr="00D5055F">
        <w:t xml:space="preserve">przed dniem wejścia w życie niniejszej ustawy </w:t>
      </w:r>
      <w:bookmarkEnd w:id="46"/>
      <w:r w:rsidRPr="00D5055F">
        <w:t>nie nałożono grzywny, nałożonej grzywny nie skierowano do egzekucji albo pomimo uiszczenia grzywien dokumenty, o których mowa w art. 9a ust. 2 ustawy zmienianej w art. 1, nie zostały złożone, stosuje się przepisy ustawy zmienianej w art. 1 w brzmieniu nadanym niniejszą ustawą.</w:t>
      </w:r>
    </w:p>
    <w:p w14:paraId="6ECB62A9" w14:textId="2542DF16" w:rsidR="00D5055F" w:rsidRPr="00D5055F" w:rsidRDefault="00D5055F" w:rsidP="00D5055F">
      <w:pPr>
        <w:pStyle w:val="USTustnpkodeksu"/>
      </w:pPr>
      <w:r w:rsidRPr="00D5055F">
        <w:t xml:space="preserve">2. Grzywny </w:t>
      </w:r>
      <w:r w:rsidR="004B0B5F">
        <w:t>niezapłacone ulegają</w:t>
      </w:r>
      <w:r w:rsidRPr="00D5055F">
        <w:t xml:space="preserve"> umorzeniu.</w:t>
      </w:r>
    </w:p>
    <w:p w14:paraId="0B94E848" w14:textId="1D3DF83E" w:rsidR="00D5055F" w:rsidRPr="00D5055F" w:rsidRDefault="00D5055F" w:rsidP="00D5055F">
      <w:pPr>
        <w:pStyle w:val="ARTartustawynprozporzdzenia"/>
      </w:pPr>
      <w:bookmarkStart w:id="47" w:name="_Hlk116657499"/>
      <w:r w:rsidRPr="00D5055F">
        <w:rPr>
          <w:rStyle w:val="Ppogrubienie"/>
        </w:rPr>
        <w:t>Art. 1</w:t>
      </w:r>
      <w:r w:rsidR="004B0B5F">
        <w:rPr>
          <w:rStyle w:val="Ppogrubienie"/>
        </w:rPr>
        <w:t>0</w:t>
      </w:r>
      <w:r w:rsidRPr="00D5055F">
        <w:rPr>
          <w:rStyle w:val="Ppogrubienie"/>
        </w:rPr>
        <w:t>.</w:t>
      </w:r>
      <w:r w:rsidRPr="00D5055F">
        <w:t xml:space="preserve"> Do postępowań o rozwiązanie podmiotu wpisanego do Krajowego Rejestru Sądowego bez przeprowadzania postępowania likwidacyjnego wszczętych i niezakończonych </w:t>
      </w:r>
      <w:r w:rsidRPr="00D5055F">
        <w:lastRenderedPageBreak/>
        <w:t xml:space="preserve">przed dniem wejścia w życie niniejszej ustawy stosuje się odpowiednio przepisy art. 25ca oraz art. 25d ustawy zmienianej w art. 1, </w:t>
      </w:r>
      <w:bookmarkStart w:id="48" w:name="_Hlk116658130"/>
      <w:r w:rsidRPr="00D5055F">
        <w:t>w brzmieniu nadanym niniejszą ustawą</w:t>
      </w:r>
      <w:bookmarkEnd w:id="48"/>
      <w:r w:rsidRPr="00D5055F">
        <w:t>.</w:t>
      </w:r>
    </w:p>
    <w:p w14:paraId="00A62932" w14:textId="5213CAAA" w:rsidR="00D5055F" w:rsidRPr="00D5055F" w:rsidRDefault="00D5055F" w:rsidP="00D5055F">
      <w:pPr>
        <w:pStyle w:val="ARTartustawynprozporzdzenia"/>
      </w:pPr>
      <w:r w:rsidRPr="00D5055F">
        <w:rPr>
          <w:rStyle w:val="Ppogrubienie"/>
        </w:rPr>
        <w:t xml:space="preserve">Art. </w:t>
      </w:r>
      <w:r w:rsidR="00D4748A">
        <w:rPr>
          <w:rStyle w:val="Ppogrubienie"/>
        </w:rPr>
        <w:t>1</w:t>
      </w:r>
      <w:r w:rsidR="004B0B5F">
        <w:rPr>
          <w:rStyle w:val="Ppogrubienie"/>
        </w:rPr>
        <w:t>1</w:t>
      </w:r>
      <w:r w:rsidRPr="00D5055F">
        <w:rPr>
          <w:rStyle w:val="Ppogrubienie"/>
        </w:rPr>
        <w:t>.</w:t>
      </w:r>
      <w:r w:rsidRPr="00D5055F">
        <w:t xml:space="preserve"> W terminie 6 miesięcy od dnia wejścia w życie ustawy minister właściwy do spraw informatyzacji udzieli sądom rejestrowym za pośrednictwem systemu teleinformatycznego informacji, o których mowa w art. 21f ustawy zmienianej w art. 1, w odniesieniu do osób wpisanych do Krajowego Rejestru Sądowego przed dniem wejścia w życie ustawy.</w:t>
      </w:r>
    </w:p>
    <w:p w14:paraId="01871C6A" w14:textId="4888C131" w:rsidR="00D5055F" w:rsidRPr="00D5055F" w:rsidRDefault="00D5055F" w:rsidP="00D5055F">
      <w:pPr>
        <w:pStyle w:val="ARTartustawynprozporzdzenia"/>
      </w:pPr>
      <w:r w:rsidRPr="00D5055F">
        <w:rPr>
          <w:rStyle w:val="Ppogrubienie"/>
        </w:rPr>
        <w:t xml:space="preserve">Art. </w:t>
      </w:r>
      <w:r w:rsidR="004B0B5F">
        <w:rPr>
          <w:rStyle w:val="Ppogrubienie"/>
        </w:rPr>
        <w:t>12</w:t>
      </w:r>
      <w:r w:rsidRPr="00D5055F">
        <w:rPr>
          <w:rStyle w:val="Ppogrubienie"/>
        </w:rPr>
        <w:t>.</w:t>
      </w:r>
      <w:r w:rsidRPr="00D5055F">
        <w:t xml:space="preserve"> Spółka komandytowo-akcyjna oraz spółka akcyjna będąca spółką publiczną ma obowiązek zgłosić informację, o której mowa w art. 38 pkt 1b ustawy zmienianej w art. 1, przy pierwszym wniosku o zmianę danych w Krajowym Rejestrze Sądowym, nie później niż w terminie 3 miesięcy od dnia wejścia w życie niniejszej ustawy.</w:t>
      </w:r>
    </w:p>
    <w:p w14:paraId="7D3ACA43" w14:textId="7A2A4AC1" w:rsidR="00D5055F" w:rsidRDefault="00D5055F" w:rsidP="004444D0">
      <w:pPr>
        <w:pStyle w:val="ARTartustawynprozporzdzenia"/>
      </w:pPr>
      <w:bookmarkStart w:id="49" w:name="_Hlk216953292"/>
      <w:bookmarkEnd w:id="47"/>
      <w:r w:rsidRPr="00D5055F">
        <w:rPr>
          <w:rStyle w:val="Ppogrubienie"/>
        </w:rPr>
        <w:t xml:space="preserve">Art. </w:t>
      </w:r>
      <w:bookmarkEnd w:id="49"/>
      <w:r w:rsidR="004B0B5F">
        <w:rPr>
          <w:rStyle w:val="Ppogrubienie"/>
        </w:rPr>
        <w:t>13</w:t>
      </w:r>
      <w:r w:rsidRPr="00D5055F">
        <w:rPr>
          <w:rStyle w:val="Ppogrubienie"/>
        </w:rPr>
        <w:t xml:space="preserve">. </w:t>
      </w:r>
      <w:r w:rsidRPr="00D5055F">
        <w:t xml:space="preserve">Ustawa wchodzi w życie z dniem 1 </w:t>
      </w:r>
      <w:r w:rsidR="00717E26">
        <w:t>października</w:t>
      </w:r>
      <w:r w:rsidRPr="00D5055F">
        <w:t xml:space="preserve"> 2027 r.</w:t>
      </w:r>
      <w:r w:rsidR="002F2BBE">
        <w:t xml:space="preserve">, z wyjątkiem </w:t>
      </w:r>
      <w:r w:rsidR="009863C1">
        <w:t>art. 1 pkt 13 lit. b, pkt 14 lit. a tiret drugie</w:t>
      </w:r>
      <w:r w:rsidR="00CA65F0">
        <w:t>, pkt 20 lit. b,</w:t>
      </w:r>
      <w:r w:rsidR="00A02202">
        <w:t xml:space="preserve"> pkt 11 i 19 lit. a w zakresie, w jakim dotyczą </w:t>
      </w:r>
      <w:r w:rsidR="00A02202" w:rsidRPr="00A02202">
        <w:t>wzmiank</w:t>
      </w:r>
      <w:r w:rsidR="00A02202">
        <w:t>i</w:t>
      </w:r>
      <w:r w:rsidR="00A02202" w:rsidRPr="00A02202">
        <w:t xml:space="preserve"> o niewykonywaniu obowiązku złożenia dokumentów finansowych pomimo wezwania sądu</w:t>
      </w:r>
      <w:r w:rsidR="00A02202">
        <w:t xml:space="preserve"> </w:t>
      </w:r>
      <w:r w:rsidR="00CA65F0">
        <w:t>oraz</w:t>
      </w:r>
      <w:r w:rsidR="009863C1">
        <w:t xml:space="preserve"> </w:t>
      </w:r>
      <w:r w:rsidR="002F2BBE" w:rsidRPr="002F2BBE">
        <w:t xml:space="preserve">art. </w:t>
      </w:r>
      <w:r w:rsidR="00717E26">
        <w:t>9</w:t>
      </w:r>
      <w:r w:rsidR="002F2BBE" w:rsidRPr="002F2BBE">
        <w:t>, któr</w:t>
      </w:r>
      <w:r w:rsidR="00CA65F0">
        <w:t>e</w:t>
      </w:r>
      <w:r w:rsidR="002F2BBE" w:rsidRPr="002F2BBE">
        <w:t xml:space="preserve"> wchodz</w:t>
      </w:r>
      <w:r w:rsidR="00CA65F0">
        <w:t>ą</w:t>
      </w:r>
      <w:r w:rsidR="002F2BBE" w:rsidRPr="002F2BBE">
        <w:t xml:space="preserve"> w życie z dniem </w:t>
      </w:r>
      <w:r w:rsidR="00717E26">
        <w:t>1 października 2028 r.</w:t>
      </w:r>
    </w:p>
    <w:p w14:paraId="594EECD6" w14:textId="77777777" w:rsidR="00613AE2" w:rsidRDefault="00613AE2" w:rsidP="004444D0">
      <w:pPr>
        <w:pStyle w:val="ARTartustawynprozporzdzenia"/>
      </w:pPr>
    </w:p>
    <w:p w14:paraId="20134811" w14:textId="77777777" w:rsidR="00613AE2" w:rsidRDefault="00613AE2" w:rsidP="004444D0">
      <w:pPr>
        <w:pStyle w:val="ARTartustawynprozporzdzenia"/>
      </w:pPr>
    </w:p>
    <w:p w14:paraId="57329961" w14:textId="458A3AC4" w:rsidR="00613AE2" w:rsidRPr="00613AE2" w:rsidRDefault="00613AE2" w:rsidP="00613AE2">
      <w:pPr>
        <w:pStyle w:val="NOTATKILEGISLATORA"/>
        <w:rPr>
          <w:rStyle w:val="PKpogrubieniekursywa"/>
        </w:rPr>
      </w:pPr>
      <w:r w:rsidRPr="00613AE2">
        <w:rPr>
          <w:rStyle w:val="PKpogrubieniekursywa"/>
        </w:rPr>
        <w:t>Za zgodność pod względem prawnym, legislacyjnym i redakcyjnym</w:t>
      </w:r>
    </w:p>
    <w:p w14:paraId="60926E01" w14:textId="76630607" w:rsidR="00613AE2" w:rsidRPr="00613AE2" w:rsidRDefault="00613AE2" w:rsidP="00613AE2">
      <w:pPr>
        <w:pStyle w:val="NOTATKILEGISLATORA"/>
        <w:rPr>
          <w:rStyle w:val="Ppogrubienie"/>
        </w:rPr>
      </w:pPr>
      <w:r w:rsidRPr="00613AE2">
        <w:rPr>
          <w:rStyle w:val="Ppogrubienie"/>
        </w:rPr>
        <w:t>Łukasz Paszka</w:t>
      </w:r>
    </w:p>
    <w:p w14:paraId="3F6EA09C" w14:textId="306BA999" w:rsidR="00613AE2" w:rsidRPr="00613AE2" w:rsidRDefault="00613AE2" w:rsidP="00613AE2">
      <w:pPr>
        <w:pStyle w:val="NOTATKILEGISLATORA"/>
        <w:rPr>
          <w:rStyle w:val="Ppogrubienie"/>
        </w:rPr>
      </w:pPr>
      <w:r w:rsidRPr="00613AE2">
        <w:rPr>
          <w:rStyle w:val="Ppogrubienie"/>
        </w:rPr>
        <w:t xml:space="preserve">Zastępca Dyrektora </w:t>
      </w:r>
    </w:p>
    <w:p w14:paraId="21A8C361" w14:textId="02FB9A7E" w:rsidR="00613AE2" w:rsidRPr="00613AE2" w:rsidRDefault="00613AE2" w:rsidP="00613AE2">
      <w:pPr>
        <w:pStyle w:val="NOTATKILEGISLATORA"/>
        <w:rPr>
          <w:rStyle w:val="Ppogrubienie"/>
        </w:rPr>
      </w:pPr>
      <w:r w:rsidRPr="00613AE2">
        <w:rPr>
          <w:rStyle w:val="Ppogrubienie"/>
        </w:rPr>
        <w:t>Departamentu Legislacyjnego</w:t>
      </w:r>
    </w:p>
    <w:p w14:paraId="22040DD9" w14:textId="77777777" w:rsidR="00613AE2" w:rsidRPr="00613AE2" w:rsidRDefault="00613AE2" w:rsidP="00613AE2">
      <w:pPr>
        <w:pStyle w:val="NOTATKILEGISLATORA"/>
        <w:rPr>
          <w:rStyle w:val="Ppogrubienie"/>
        </w:rPr>
      </w:pPr>
      <w:r w:rsidRPr="00613AE2">
        <w:rPr>
          <w:rStyle w:val="Ppogrubienie"/>
        </w:rPr>
        <w:t>w Ministerstwie Sprawiedliwości</w:t>
      </w:r>
    </w:p>
    <w:p w14:paraId="321AB22D" w14:textId="2BA53B05" w:rsidR="00613AE2" w:rsidRPr="00613AE2" w:rsidRDefault="00613AE2" w:rsidP="00613AE2">
      <w:pPr>
        <w:pStyle w:val="NOTATKILEGISLATORA"/>
        <w:rPr>
          <w:rStyle w:val="Ppogrubienie"/>
        </w:rPr>
      </w:pPr>
      <w:r w:rsidRPr="00613AE2">
        <w:rPr>
          <w:rStyle w:val="Ppogrubienie"/>
        </w:rPr>
        <w:t>/podpisano elektronicznie/</w:t>
      </w:r>
    </w:p>
    <w:p w14:paraId="536E6725" w14:textId="77777777" w:rsidR="00D5055F" w:rsidRPr="00D5055F" w:rsidRDefault="00D5055F" w:rsidP="00D5055F">
      <w:pPr>
        <w:pStyle w:val="USTustnpkodeksu"/>
      </w:pPr>
    </w:p>
    <w:p w14:paraId="456509FF" w14:textId="77777777" w:rsidR="00261A16" w:rsidRPr="00737F6A" w:rsidRDefault="00261A16" w:rsidP="00737F6A"/>
    <w:sectPr w:rsidR="00261A16" w:rsidRPr="00737F6A" w:rsidSect="001A7F15">
      <w:headerReference w:type="default" r:id="rId9"/>
      <w:footnotePr>
        <w:numRestart w:val="eachSect"/>
      </w:footnotePr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3F560F" w14:textId="77777777" w:rsidR="001D33E5" w:rsidRDefault="001D33E5">
      <w:r>
        <w:separator/>
      </w:r>
    </w:p>
  </w:endnote>
  <w:endnote w:type="continuationSeparator" w:id="0">
    <w:p w14:paraId="21D636D4" w14:textId="77777777" w:rsidR="001D33E5" w:rsidRDefault="001D33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76C052" w14:textId="77777777" w:rsidR="001D33E5" w:rsidRDefault="001D33E5">
      <w:r>
        <w:separator/>
      </w:r>
    </w:p>
  </w:footnote>
  <w:footnote w:type="continuationSeparator" w:id="0">
    <w:p w14:paraId="600BBBFC" w14:textId="77777777" w:rsidR="001D33E5" w:rsidRDefault="001D33E5">
      <w:r>
        <w:continuationSeparator/>
      </w:r>
    </w:p>
  </w:footnote>
  <w:footnote w:id="1">
    <w:p w14:paraId="55CFE6F6" w14:textId="650C598A" w:rsidR="00D5055F" w:rsidRPr="00D5055F" w:rsidRDefault="00D5055F" w:rsidP="00D5055F">
      <w:pPr>
        <w:pStyle w:val="ODNONIKtreodnonika"/>
      </w:pPr>
      <w:r>
        <w:rPr>
          <w:rStyle w:val="Odwoanieprzypisudolnego"/>
        </w:rPr>
        <w:footnoteRef/>
      </w:r>
      <w:r>
        <w:rPr>
          <w:rStyle w:val="IGindeksgrny"/>
        </w:rPr>
        <w:t>)</w:t>
      </w:r>
      <w:r>
        <w:tab/>
      </w:r>
      <w:r w:rsidRPr="00D5055F">
        <w:tab/>
        <w:t>Niniejszą ustawą zmienia się ustawy: ustawę z dnia 24 marca 1920 r. o nabywaniu nieruchomości przez cudzoziemców, ustawę z dnia 17 listopada 1964 r. – Kodeks postępowania cywilnego, ustawę z dnia 14 lutego 1991 r. – Prawo o notariacie, ustawę z dnia 29 września 1994 r. o rachunkowości, ustawę z dnia 13 października 1998 r. o systemie ubezpieczeń społecznych, ustawę z dnia 24 kwietnia 2003 r. o działalności pożytku publicznego i o wolontariacie, ustawę z dnia 16 listopada 2016 r. o Krajowej Administracji Skarbowej.</w:t>
      </w:r>
    </w:p>
  </w:footnote>
  <w:footnote w:id="2">
    <w:p w14:paraId="2D744BA9" w14:textId="5F28C7B1" w:rsidR="00D5055F" w:rsidRPr="00D5055F" w:rsidRDefault="00D5055F" w:rsidP="00D5055F">
      <w:pPr>
        <w:pStyle w:val="ODNONIKtreodnonika"/>
      </w:pPr>
      <w:r>
        <w:rPr>
          <w:rStyle w:val="Odwoanieprzypisudolnego"/>
        </w:rPr>
        <w:footnoteRef/>
      </w:r>
      <w:r>
        <w:rPr>
          <w:rStyle w:val="IGindeksgrny"/>
        </w:rPr>
        <w:t>)</w:t>
      </w:r>
      <w:r>
        <w:tab/>
      </w:r>
      <w:r w:rsidRPr="00D5055F">
        <w:t>Zmiany tekstu jednolitego wymienionej ustawy zostały ogłoszone w Dz. U. z 2023 r. poz. 295 i 1598, z 2024 r. poz. 619, 1685 i 1863 oraz z 2025 r. poz. 1218.</w:t>
      </w:r>
    </w:p>
  </w:footnote>
  <w:footnote w:id="3">
    <w:p w14:paraId="768D1A12" w14:textId="1E1BAB82" w:rsidR="00D5055F" w:rsidRPr="00D5055F" w:rsidRDefault="00D5055F" w:rsidP="00D5055F">
      <w:pPr>
        <w:pStyle w:val="ODNONIKtreodnonika"/>
      </w:pPr>
      <w:r>
        <w:rPr>
          <w:rStyle w:val="Odwoanieprzypisudolnego"/>
        </w:rPr>
        <w:footnoteRef/>
      </w:r>
      <w:r>
        <w:rPr>
          <w:rStyle w:val="IGindeksgrny"/>
        </w:rPr>
        <w:t>)</w:t>
      </w:r>
      <w:r>
        <w:tab/>
      </w:r>
      <w:r w:rsidRPr="00D5055F">
        <w:t>Zmiany tekstu jednolitego wymienionej ustawy zostały ogłoszone w Dz. U. z 2024 r. poz. 1907 oraz z 2025 r. poz. 526, 820, 1172 i 1178 oraz z 2026 r. poz. 26.</w:t>
      </w:r>
    </w:p>
  </w:footnote>
  <w:footnote w:id="4">
    <w:p w14:paraId="46548BE0" w14:textId="5C753C16" w:rsidR="00D5055F" w:rsidRPr="00D5055F" w:rsidRDefault="00D5055F" w:rsidP="00D5055F">
      <w:pPr>
        <w:pStyle w:val="ODNONIKtreodnonika"/>
      </w:pPr>
      <w:r>
        <w:rPr>
          <w:rStyle w:val="Odwoanieprzypisudolnego"/>
        </w:rPr>
        <w:footnoteRef/>
      </w:r>
      <w:r>
        <w:rPr>
          <w:rStyle w:val="IGindeksgrny"/>
        </w:rPr>
        <w:t>)</w:t>
      </w:r>
      <w:r>
        <w:tab/>
      </w:r>
      <w:r w:rsidRPr="00D5055F">
        <w:t>Zmiany tekstu jednolitego wymienionej ustawy zostały ogłoszone w Dz. U. z 2023 r. poz. 295 i 1598 oraz z 2024 r. poz. 619, 1685, 1863 i 1218.</w:t>
      </w:r>
    </w:p>
  </w:footnote>
  <w:footnote w:id="5">
    <w:p w14:paraId="3F8DE288" w14:textId="2FC6C928" w:rsidR="00D5055F" w:rsidRPr="00D5055F" w:rsidRDefault="00D5055F" w:rsidP="00D5055F">
      <w:pPr>
        <w:pStyle w:val="ODNONIKtreodnonika"/>
      </w:pPr>
      <w:r>
        <w:rPr>
          <w:rStyle w:val="Odwoanieprzypisudolnego"/>
        </w:rPr>
        <w:footnoteRef/>
      </w:r>
      <w:r>
        <w:rPr>
          <w:rStyle w:val="IGindeksgrny"/>
        </w:rPr>
        <w:t>)</w:t>
      </w:r>
      <w:r>
        <w:tab/>
      </w:r>
      <w:r w:rsidRPr="00D5055F">
        <w:t>Zmiany tekstu jednolitego wymienionej ustawy zostały ogłoszone w Dz. U. z 2025 poz. 620, 622, 769, 820, 1083, 1160, 1216, 1409, 1413 i 1423.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353CD" w14:textId="77777777" w:rsidR="00CC3E3D" w:rsidRPr="00B371CC" w:rsidRDefault="00CC3E3D" w:rsidP="00B371CC">
    <w:pPr>
      <w:pStyle w:val="Nagwek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F948C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CBCD7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F618F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F3CF3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188AE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B071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7E2B08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D287B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19AC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1A14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441325"/>
    <w:multiLevelType w:val="hybridMultilevel"/>
    <w:tmpl w:val="8026A820"/>
    <w:lvl w:ilvl="0" w:tplc="04150017">
      <w:start w:val="1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11" w15:restartNumberingAfterBreak="0">
    <w:nsid w:val="0B3D59B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0CF841AF"/>
    <w:multiLevelType w:val="hybridMultilevel"/>
    <w:tmpl w:val="300A79B0"/>
    <w:lvl w:ilvl="0" w:tplc="EE18AB86">
      <w:start w:val="1"/>
      <w:numFmt w:val="decimal"/>
      <w:lvlText w:val="%1."/>
      <w:lvlJc w:val="left"/>
      <w:pPr>
        <w:ind w:left="1020" w:hanging="360"/>
      </w:pPr>
    </w:lvl>
    <w:lvl w:ilvl="1" w:tplc="DF5EB1B6">
      <w:start w:val="1"/>
      <w:numFmt w:val="decimal"/>
      <w:lvlText w:val="%2."/>
      <w:lvlJc w:val="left"/>
      <w:pPr>
        <w:ind w:left="1020" w:hanging="360"/>
      </w:pPr>
    </w:lvl>
    <w:lvl w:ilvl="2" w:tplc="24B206F6">
      <w:start w:val="1"/>
      <w:numFmt w:val="decimal"/>
      <w:lvlText w:val="%3."/>
      <w:lvlJc w:val="left"/>
      <w:pPr>
        <w:ind w:left="1020" w:hanging="360"/>
      </w:pPr>
    </w:lvl>
    <w:lvl w:ilvl="3" w:tplc="46CA19CE">
      <w:start w:val="1"/>
      <w:numFmt w:val="decimal"/>
      <w:lvlText w:val="%4."/>
      <w:lvlJc w:val="left"/>
      <w:pPr>
        <w:ind w:left="1020" w:hanging="360"/>
      </w:pPr>
    </w:lvl>
    <w:lvl w:ilvl="4" w:tplc="468E16E2">
      <w:start w:val="1"/>
      <w:numFmt w:val="decimal"/>
      <w:lvlText w:val="%5."/>
      <w:lvlJc w:val="left"/>
      <w:pPr>
        <w:ind w:left="1020" w:hanging="360"/>
      </w:pPr>
    </w:lvl>
    <w:lvl w:ilvl="5" w:tplc="2AC6566E">
      <w:start w:val="1"/>
      <w:numFmt w:val="decimal"/>
      <w:lvlText w:val="%6."/>
      <w:lvlJc w:val="left"/>
      <w:pPr>
        <w:ind w:left="1020" w:hanging="360"/>
      </w:pPr>
    </w:lvl>
    <w:lvl w:ilvl="6" w:tplc="3AC4ED3A">
      <w:start w:val="1"/>
      <w:numFmt w:val="decimal"/>
      <w:lvlText w:val="%7."/>
      <w:lvlJc w:val="left"/>
      <w:pPr>
        <w:ind w:left="1020" w:hanging="360"/>
      </w:pPr>
    </w:lvl>
    <w:lvl w:ilvl="7" w:tplc="78D06272">
      <w:start w:val="1"/>
      <w:numFmt w:val="decimal"/>
      <w:lvlText w:val="%8."/>
      <w:lvlJc w:val="left"/>
      <w:pPr>
        <w:ind w:left="1020" w:hanging="360"/>
      </w:pPr>
    </w:lvl>
    <w:lvl w:ilvl="8" w:tplc="1A2C49FE">
      <w:start w:val="1"/>
      <w:numFmt w:val="decimal"/>
      <w:lvlText w:val="%9."/>
      <w:lvlJc w:val="left"/>
      <w:pPr>
        <w:ind w:left="1020" w:hanging="360"/>
      </w:pPr>
    </w:lvl>
  </w:abstractNum>
  <w:abstractNum w:abstractNumId="13" w15:restartNumberingAfterBreak="0">
    <w:nsid w:val="13433443"/>
    <w:multiLevelType w:val="hybridMultilevel"/>
    <w:tmpl w:val="20DACD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3C93D3D"/>
    <w:multiLevelType w:val="hybridMultilevel"/>
    <w:tmpl w:val="726AC678"/>
    <w:lvl w:ilvl="0" w:tplc="46F0F402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63" w:hanging="360"/>
      </w:pPr>
    </w:lvl>
    <w:lvl w:ilvl="2" w:tplc="0415001B" w:tentative="1">
      <w:start w:val="1"/>
      <w:numFmt w:val="lowerRoman"/>
      <w:lvlText w:val="%3."/>
      <w:lvlJc w:val="right"/>
      <w:pPr>
        <w:ind w:left="3183" w:hanging="180"/>
      </w:pPr>
    </w:lvl>
    <w:lvl w:ilvl="3" w:tplc="0415000F" w:tentative="1">
      <w:start w:val="1"/>
      <w:numFmt w:val="decimal"/>
      <w:lvlText w:val="%4."/>
      <w:lvlJc w:val="left"/>
      <w:pPr>
        <w:ind w:left="3903" w:hanging="360"/>
      </w:pPr>
    </w:lvl>
    <w:lvl w:ilvl="4" w:tplc="04150019" w:tentative="1">
      <w:start w:val="1"/>
      <w:numFmt w:val="lowerLetter"/>
      <w:lvlText w:val="%5."/>
      <w:lvlJc w:val="left"/>
      <w:pPr>
        <w:ind w:left="4623" w:hanging="360"/>
      </w:pPr>
    </w:lvl>
    <w:lvl w:ilvl="5" w:tplc="0415001B" w:tentative="1">
      <w:start w:val="1"/>
      <w:numFmt w:val="lowerRoman"/>
      <w:lvlText w:val="%6."/>
      <w:lvlJc w:val="right"/>
      <w:pPr>
        <w:ind w:left="5343" w:hanging="180"/>
      </w:pPr>
    </w:lvl>
    <w:lvl w:ilvl="6" w:tplc="0415000F" w:tentative="1">
      <w:start w:val="1"/>
      <w:numFmt w:val="decimal"/>
      <w:lvlText w:val="%7."/>
      <w:lvlJc w:val="left"/>
      <w:pPr>
        <w:ind w:left="6063" w:hanging="360"/>
      </w:pPr>
    </w:lvl>
    <w:lvl w:ilvl="7" w:tplc="04150019" w:tentative="1">
      <w:start w:val="1"/>
      <w:numFmt w:val="lowerLetter"/>
      <w:lvlText w:val="%8."/>
      <w:lvlJc w:val="left"/>
      <w:pPr>
        <w:ind w:left="6783" w:hanging="360"/>
      </w:pPr>
    </w:lvl>
    <w:lvl w:ilvl="8" w:tplc="0415001B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15" w15:restartNumberingAfterBreak="0">
    <w:nsid w:val="162111DC"/>
    <w:multiLevelType w:val="singleLevel"/>
    <w:tmpl w:val="9D2C0646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6" w15:restartNumberingAfterBreak="0">
    <w:nsid w:val="1F653082"/>
    <w:multiLevelType w:val="hybridMultilevel"/>
    <w:tmpl w:val="1850341C"/>
    <w:lvl w:ilvl="0" w:tplc="152234C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E114772A">
      <w:start w:val="1"/>
      <w:numFmt w:val="none"/>
      <w:lvlText w:val="abc)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7" w15:restartNumberingAfterBreak="0">
    <w:nsid w:val="20EA6547"/>
    <w:multiLevelType w:val="hybridMultilevel"/>
    <w:tmpl w:val="23E2E270"/>
    <w:lvl w:ilvl="0" w:tplc="C90091C2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168411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21684525"/>
    <w:multiLevelType w:val="singleLevel"/>
    <w:tmpl w:val="6792BDB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20" w15:restartNumberingAfterBreak="0">
    <w:nsid w:val="21B545D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2B104CA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2ED85ACF"/>
    <w:multiLevelType w:val="hybridMultilevel"/>
    <w:tmpl w:val="2D880CC4"/>
    <w:lvl w:ilvl="0" w:tplc="AEF8DF3A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348" w:hanging="360"/>
      </w:pPr>
    </w:lvl>
    <w:lvl w:ilvl="2" w:tplc="0415001B" w:tentative="1">
      <w:start w:val="1"/>
      <w:numFmt w:val="lowerRoman"/>
      <w:lvlText w:val="%3."/>
      <w:lvlJc w:val="right"/>
      <w:pPr>
        <w:ind w:left="4068" w:hanging="180"/>
      </w:pPr>
    </w:lvl>
    <w:lvl w:ilvl="3" w:tplc="0415000F" w:tentative="1">
      <w:start w:val="1"/>
      <w:numFmt w:val="decimal"/>
      <w:lvlText w:val="%4."/>
      <w:lvlJc w:val="left"/>
      <w:pPr>
        <w:ind w:left="4788" w:hanging="360"/>
      </w:pPr>
    </w:lvl>
    <w:lvl w:ilvl="4" w:tplc="04150019" w:tentative="1">
      <w:start w:val="1"/>
      <w:numFmt w:val="lowerLetter"/>
      <w:lvlText w:val="%5."/>
      <w:lvlJc w:val="left"/>
      <w:pPr>
        <w:ind w:left="5508" w:hanging="360"/>
      </w:pPr>
    </w:lvl>
    <w:lvl w:ilvl="5" w:tplc="0415001B" w:tentative="1">
      <w:start w:val="1"/>
      <w:numFmt w:val="lowerRoman"/>
      <w:lvlText w:val="%6."/>
      <w:lvlJc w:val="right"/>
      <w:pPr>
        <w:ind w:left="6228" w:hanging="180"/>
      </w:pPr>
    </w:lvl>
    <w:lvl w:ilvl="6" w:tplc="0415000F" w:tentative="1">
      <w:start w:val="1"/>
      <w:numFmt w:val="decimal"/>
      <w:lvlText w:val="%7."/>
      <w:lvlJc w:val="left"/>
      <w:pPr>
        <w:ind w:left="6948" w:hanging="360"/>
      </w:pPr>
    </w:lvl>
    <w:lvl w:ilvl="7" w:tplc="04150019" w:tentative="1">
      <w:start w:val="1"/>
      <w:numFmt w:val="lowerLetter"/>
      <w:lvlText w:val="%8."/>
      <w:lvlJc w:val="left"/>
      <w:pPr>
        <w:ind w:left="7668" w:hanging="360"/>
      </w:pPr>
    </w:lvl>
    <w:lvl w:ilvl="8" w:tplc="0415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23" w15:restartNumberingAfterBreak="0">
    <w:nsid w:val="2F5D385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301C61B4"/>
    <w:multiLevelType w:val="singleLevel"/>
    <w:tmpl w:val="1ECCD4F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25" w15:restartNumberingAfterBreak="0">
    <w:nsid w:val="3994131B"/>
    <w:multiLevelType w:val="multilevel"/>
    <w:tmpl w:val="04150023"/>
    <w:lvl w:ilvl="0">
      <w:start w:val="1"/>
      <w:numFmt w:val="upperRoman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6" w15:restartNumberingAfterBreak="0">
    <w:nsid w:val="39AA6BF5"/>
    <w:multiLevelType w:val="hybridMultilevel"/>
    <w:tmpl w:val="E8B27C04"/>
    <w:lvl w:ilvl="0" w:tplc="405C789C">
      <w:start w:val="1"/>
      <w:numFmt w:val="decimal"/>
      <w:lvlText w:val="%1."/>
      <w:lvlJc w:val="left"/>
      <w:pPr>
        <w:ind w:left="1020" w:hanging="360"/>
      </w:pPr>
    </w:lvl>
    <w:lvl w:ilvl="1" w:tplc="802C8C24">
      <w:start w:val="1"/>
      <w:numFmt w:val="decimal"/>
      <w:lvlText w:val="%2."/>
      <w:lvlJc w:val="left"/>
      <w:pPr>
        <w:ind w:left="1020" w:hanging="360"/>
      </w:pPr>
    </w:lvl>
    <w:lvl w:ilvl="2" w:tplc="C9647562">
      <w:start w:val="1"/>
      <w:numFmt w:val="decimal"/>
      <w:lvlText w:val="%3."/>
      <w:lvlJc w:val="left"/>
      <w:pPr>
        <w:ind w:left="1020" w:hanging="360"/>
      </w:pPr>
    </w:lvl>
    <w:lvl w:ilvl="3" w:tplc="CBFE7D8A">
      <w:start w:val="1"/>
      <w:numFmt w:val="decimal"/>
      <w:lvlText w:val="%4."/>
      <w:lvlJc w:val="left"/>
      <w:pPr>
        <w:ind w:left="1020" w:hanging="360"/>
      </w:pPr>
    </w:lvl>
    <w:lvl w:ilvl="4" w:tplc="90C6668C">
      <w:start w:val="1"/>
      <w:numFmt w:val="decimal"/>
      <w:lvlText w:val="%5."/>
      <w:lvlJc w:val="left"/>
      <w:pPr>
        <w:ind w:left="1020" w:hanging="360"/>
      </w:pPr>
    </w:lvl>
    <w:lvl w:ilvl="5" w:tplc="61A2E578">
      <w:start w:val="1"/>
      <w:numFmt w:val="decimal"/>
      <w:lvlText w:val="%6."/>
      <w:lvlJc w:val="left"/>
      <w:pPr>
        <w:ind w:left="1020" w:hanging="360"/>
      </w:pPr>
    </w:lvl>
    <w:lvl w:ilvl="6" w:tplc="E28CC33A">
      <w:start w:val="1"/>
      <w:numFmt w:val="decimal"/>
      <w:lvlText w:val="%7."/>
      <w:lvlJc w:val="left"/>
      <w:pPr>
        <w:ind w:left="1020" w:hanging="360"/>
      </w:pPr>
    </w:lvl>
    <w:lvl w:ilvl="7" w:tplc="43FC943C">
      <w:start w:val="1"/>
      <w:numFmt w:val="decimal"/>
      <w:lvlText w:val="%8."/>
      <w:lvlJc w:val="left"/>
      <w:pPr>
        <w:ind w:left="1020" w:hanging="360"/>
      </w:pPr>
    </w:lvl>
    <w:lvl w:ilvl="8" w:tplc="4434E99A">
      <w:start w:val="1"/>
      <w:numFmt w:val="decimal"/>
      <w:lvlText w:val="%9."/>
      <w:lvlJc w:val="left"/>
      <w:pPr>
        <w:ind w:left="1020" w:hanging="360"/>
      </w:pPr>
    </w:lvl>
  </w:abstractNum>
  <w:abstractNum w:abstractNumId="27" w15:restartNumberingAfterBreak="0">
    <w:nsid w:val="40401F6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43D450BC"/>
    <w:multiLevelType w:val="hybridMultilevel"/>
    <w:tmpl w:val="DB9EE22E"/>
    <w:lvl w:ilvl="0" w:tplc="99C0CC2A">
      <w:start w:val="2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29" w15:restartNumberingAfterBreak="0">
    <w:nsid w:val="45A8018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4BE547CD"/>
    <w:multiLevelType w:val="hybridMultilevel"/>
    <w:tmpl w:val="6FA6A0DA"/>
    <w:lvl w:ilvl="0" w:tplc="3872DBC8">
      <w:start w:val="1"/>
      <w:numFmt w:val="decimal"/>
      <w:lvlText w:val="%1."/>
      <w:lvlJc w:val="left"/>
      <w:pPr>
        <w:ind w:left="1020" w:hanging="360"/>
      </w:pPr>
    </w:lvl>
    <w:lvl w:ilvl="1" w:tplc="046C1EC2">
      <w:start w:val="1"/>
      <w:numFmt w:val="decimal"/>
      <w:lvlText w:val="%2."/>
      <w:lvlJc w:val="left"/>
      <w:pPr>
        <w:ind w:left="1020" w:hanging="360"/>
      </w:pPr>
    </w:lvl>
    <w:lvl w:ilvl="2" w:tplc="58B44B9C">
      <w:start w:val="1"/>
      <w:numFmt w:val="decimal"/>
      <w:lvlText w:val="%3."/>
      <w:lvlJc w:val="left"/>
      <w:pPr>
        <w:ind w:left="1020" w:hanging="360"/>
      </w:pPr>
    </w:lvl>
    <w:lvl w:ilvl="3" w:tplc="1E88CFF4">
      <w:start w:val="1"/>
      <w:numFmt w:val="decimal"/>
      <w:lvlText w:val="%4."/>
      <w:lvlJc w:val="left"/>
      <w:pPr>
        <w:ind w:left="1020" w:hanging="360"/>
      </w:pPr>
    </w:lvl>
    <w:lvl w:ilvl="4" w:tplc="4B5A161E">
      <w:start w:val="1"/>
      <w:numFmt w:val="decimal"/>
      <w:lvlText w:val="%5."/>
      <w:lvlJc w:val="left"/>
      <w:pPr>
        <w:ind w:left="1020" w:hanging="360"/>
      </w:pPr>
    </w:lvl>
    <w:lvl w:ilvl="5" w:tplc="C9EA8B06">
      <w:start w:val="1"/>
      <w:numFmt w:val="decimal"/>
      <w:lvlText w:val="%6."/>
      <w:lvlJc w:val="left"/>
      <w:pPr>
        <w:ind w:left="1020" w:hanging="360"/>
      </w:pPr>
    </w:lvl>
    <w:lvl w:ilvl="6" w:tplc="DCBCB40C">
      <w:start w:val="1"/>
      <w:numFmt w:val="decimal"/>
      <w:lvlText w:val="%7."/>
      <w:lvlJc w:val="left"/>
      <w:pPr>
        <w:ind w:left="1020" w:hanging="360"/>
      </w:pPr>
    </w:lvl>
    <w:lvl w:ilvl="7" w:tplc="E7E83DAA">
      <w:start w:val="1"/>
      <w:numFmt w:val="decimal"/>
      <w:lvlText w:val="%8."/>
      <w:lvlJc w:val="left"/>
      <w:pPr>
        <w:ind w:left="1020" w:hanging="360"/>
      </w:pPr>
    </w:lvl>
    <w:lvl w:ilvl="8" w:tplc="2E0C0AEE">
      <w:start w:val="1"/>
      <w:numFmt w:val="decimal"/>
      <w:lvlText w:val="%9."/>
      <w:lvlJc w:val="left"/>
      <w:pPr>
        <w:ind w:left="1020" w:hanging="360"/>
      </w:pPr>
    </w:lvl>
  </w:abstractNum>
  <w:abstractNum w:abstractNumId="31" w15:restartNumberingAfterBreak="0">
    <w:nsid w:val="4CA81F15"/>
    <w:multiLevelType w:val="hybridMultilevel"/>
    <w:tmpl w:val="4B72B2A0"/>
    <w:lvl w:ilvl="0" w:tplc="59ACA6CE">
      <w:start w:val="1"/>
      <w:numFmt w:val="decimal"/>
      <w:lvlText w:val="%1."/>
      <w:lvlJc w:val="left"/>
      <w:pPr>
        <w:ind w:left="1020" w:hanging="360"/>
      </w:pPr>
    </w:lvl>
    <w:lvl w:ilvl="1" w:tplc="C5725866">
      <w:start w:val="1"/>
      <w:numFmt w:val="decimal"/>
      <w:lvlText w:val="%2."/>
      <w:lvlJc w:val="left"/>
      <w:pPr>
        <w:ind w:left="1020" w:hanging="360"/>
      </w:pPr>
    </w:lvl>
    <w:lvl w:ilvl="2" w:tplc="D7208D96">
      <w:start w:val="1"/>
      <w:numFmt w:val="decimal"/>
      <w:lvlText w:val="%3."/>
      <w:lvlJc w:val="left"/>
      <w:pPr>
        <w:ind w:left="1020" w:hanging="360"/>
      </w:pPr>
    </w:lvl>
    <w:lvl w:ilvl="3" w:tplc="45762B20">
      <w:start w:val="1"/>
      <w:numFmt w:val="decimal"/>
      <w:lvlText w:val="%4."/>
      <w:lvlJc w:val="left"/>
      <w:pPr>
        <w:ind w:left="1020" w:hanging="360"/>
      </w:pPr>
    </w:lvl>
    <w:lvl w:ilvl="4" w:tplc="C256D172">
      <w:start w:val="1"/>
      <w:numFmt w:val="decimal"/>
      <w:lvlText w:val="%5."/>
      <w:lvlJc w:val="left"/>
      <w:pPr>
        <w:ind w:left="1020" w:hanging="360"/>
      </w:pPr>
    </w:lvl>
    <w:lvl w:ilvl="5" w:tplc="BD8891BA">
      <w:start w:val="1"/>
      <w:numFmt w:val="decimal"/>
      <w:lvlText w:val="%6."/>
      <w:lvlJc w:val="left"/>
      <w:pPr>
        <w:ind w:left="1020" w:hanging="360"/>
      </w:pPr>
    </w:lvl>
    <w:lvl w:ilvl="6" w:tplc="34F04886">
      <w:start w:val="1"/>
      <w:numFmt w:val="decimal"/>
      <w:lvlText w:val="%7."/>
      <w:lvlJc w:val="left"/>
      <w:pPr>
        <w:ind w:left="1020" w:hanging="360"/>
      </w:pPr>
    </w:lvl>
    <w:lvl w:ilvl="7" w:tplc="CFD01008">
      <w:start w:val="1"/>
      <w:numFmt w:val="decimal"/>
      <w:lvlText w:val="%8."/>
      <w:lvlJc w:val="left"/>
      <w:pPr>
        <w:ind w:left="1020" w:hanging="360"/>
      </w:pPr>
    </w:lvl>
    <w:lvl w:ilvl="8" w:tplc="6D968BCC">
      <w:start w:val="1"/>
      <w:numFmt w:val="decimal"/>
      <w:lvlText w:val="%9."/>
      <w:lvlJc w:val="left"/>
      <w:pPr>
        <w:ind w:left="1020" w:hanging="360"/>
      </w:pPr>
    </w:lvl>
  </w:abstractNum>
  <w:abstractNum w:abstractNumId="32" w15:restartNumberingAfterBreak="0">
    <w:nsid w:val="51BE20CA"/>
    <w:multiLevelType w:val="hybridMultilevel"/>
    <w:tmpl w:val="E6EEC812"/>
    <w:lvl w:ilvl="0" w:tplc="E9A4CF94">
      <w:start w:val="1"/>
      <w:numFmt w:val="lowerLetter"/>
      <w:lvlText w:val="%1)"/>
      <w:lvlJc w:val="left"/>
      <w:pPr>
        <w:ind w:left="1863" w:hanging="4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63" w:hanging="360"/>
      </w:pPr>
    </w:lvl>
    <w:lvl w:ilvl="2" w:tplc="0415001B" w:tentative="1">
      <w:start w:val="1"/>
      <w:numFmt w:val="lowerRoman"/>
      <w:lvlText w:val="%3."/>
      <w:lvlJc w:val="right"/>
      <w:pPr>
        <w:ind w:left="3183" w:hanging="180"/>
      </w:pPr>
    </w:lvl>
    <w:lvl w:ilvl="3" w:tplc="0415000F" w:tentative="1">
      <w:start w:val="1"/>
      <w:numFmt w:val="decimal"/>
      <w:lvlText w:val="%4."/>
      <w:lvlJc w:val="left"/>
      <w:pPr>
        <w:ind w:left="3903" w:hanging="360"/>
      </w:pPr>
    </w:lvl>
    <w:lvl w:ilvl="4" w:tplc="04150019" w:tentative="1">
      <w:start w:val="1"/>
      <w:numFmt w:val="lowerLetter"/>
      <w:lvlText w:val="%5."/>
      <w:lvlJc w:val="left"/>
      <w:pPr>
        <w:ind w:left="4623" w:hanging="360"/>
      </w:pPr>
    </w:lvl>
    <w:lvl w:ilvl="5" w:tplc="0415001B" w:tentative="1">
      <w:start w:val="1"/>
      <w:numFmt w:val="lowerRoman"/>
      <w:lvlText w:val="%6."/>
      <w:lvlJc w:val="right"/>
      <w:pPr>
        <w:ind w:left="5343" w:hanging="180"/>
      </w:pPr>
    </w:lvl>
    <w:lvl w:ilvl="6" w:tplc="0415000F" w:tentative="1">
      <w:start w:val="1"/>
      <w:numFmt w:val="decimal"/>
      <w:lvlText w:val="%7."/>
      <w:lvlJc w:val="left"/>
      <w:pPr>
        <w:ind w:left="6063" w:hanging="360"/>
      </w:pPr>
    </w:lvl>
    <w:lvl w:ilvl="7" w:tplc="04150019" w:tentative="1">
      <w:start w:val="1"/>
      <w:numFmt w:val="lowerLetter"/>
      <w:lvlText w:val="%8."/>
      <w:lvlJc w:val="left"/>
      <w:pPr>
        <w:ind w:left="6783" w:hanging="360"/>
      </w:pPr>
    </w:lvl>
    <w:lvl w:ilvl="8" w:tplc="0415001B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33" w15:restartNumberingAfterBreak="0">
    <w:nsid w:val="57A1036E"/>
    <w:multiLevelType w:val="hybridMultilevel"/>
    <w:tmpl w:val="C7D821C8"/>
    <w:lvl w:ilvl="0" w:tplc="A47C90BA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63" w:hanging="360"/>
      </w:pPr>
    </w:lvl>
    <w:lvl w:ilvl="2" w:tplc="0415001B" w:tentative="1">
      <w:start w:val="1"/>
      <w:numFmt w:val="lowerRoman"/>
      <w:lvlText w:val="%3."/>
      <w:lvlJc w:val="right"/>
      <w:pPr>
        <w:ind w:left="3183" w:hanging="180"/>
      </w:pPr>
    </w:lvl>
    <w:lvl w:ilvl="3" w:tplc="0415000F" w:tentative="1">
      <w:start w:val="1"/>
      <w:numFmt w:val="decimal"/>
      <w:lvlText w:val="%4."/>
      <w:lvlJc w:val="left"/>
      <w:pPr>
        <w:ind w:left="3903" w:hanging="360"/>
      </w:pPr>
    </w:lvl>
    <w:lvl w:ilvl="4" w:tplc="04150019" w:tentative="1">
      <w:start w:val="1"/>
      <w:numFmt w:val="lowerLetter"/>
      <w:lvlText w:val="%5."/>
      <w:lvlJc w:val="left"/>
      <w:pPr>
        <w:ind w:left="4623" w:hanging="360"/>
      </w:pPr>
    </w:lvl>
    <w:lvl w:ilvl="5" w:tplc="0415001B" w:tentative="1">
      <w:start w:val="1"/>
      <w:numFmt w:val="lowerRoman"/>
      <w:lvlText w:val="%6."/>
      <w:lvlJc w:val="right"/>
      <w:pPr>
        <w:ind w:left="5343" w:hanging="180"/>
      </w:pPr>
    </w:lvl>
    <w:lvl w:ilvl="6" w:tplc="0415000F" w:tentative="1">
      <w:start w:val="1"/>
      <w:numFmt w:val="decimal"/>
      <w:lvlText w:val="%7."/>
      <w:lvlJc w:val="left"/>
      <w:pPr>
        <w:ind w:left="6063" w:hanging="360"/>
      </w:pPr>
    </w:lvl>
    <w:lvl w:ilvl="7" w:tplc="04150019" w:tentative="1">
      <w:start w:val="1"/>
      <w:numFmt w:val="lowerLetter"/>
      <w:lvlText w:val="%8."/>
      <w:lvlJc w:val="left"/>
      <w:pPr>
        <w:ind w:left="6783" w:hanging="360"/>
      </w:pPr>
    </w:lvl>
    <w:lvl w:ilvl="8" w:tplc="0415001B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34" w15:restartNumberingAfterBreak="0">
    <w:nsid w:val="5A9A097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5C0A2672"/>
    <w:multiLevelType w:val="hybridMultilevel"/>
    <w:tmpl w:val="5C7C68A8"/>
    <w:lvl w:ilvl="0" w:tplc="62C800A8">
      <w:start w:val="1"/>
      <w:numFmt w:val="decimal"/>
      <w:lvlText w:val="%1."/>
      <w:lvlJc w:val="left"/>
      <w:pPr>
        <w:ind w:left="1020" w:hanging="360"/>
      </w:pPr>
    </w:lvl>
    <w:lvl w:ilvl="1" w:tplc="9A0AD826">
      <w:start w:val="1"/>
      <w:numFmt w:val="decimal"/>
      <w:lvlText w:val="%2."/>
      <w:lvlJc w:val="left"/>
      <w:pPr>
        <w:ind w:left="1020" w:hanging="360"/>
      </w:pPr>
    </w:lvl>
    <w:lvl w:ilvl="2" w:tplc="DAEC31E8">
      <w:start w:val="1"/>
      <w:numFmt w:val="decimal"/>
      <w:lvlText w:val="%3."/>
      <w:lvlJc w:val="left"/>
      <w:pPr>
        <w:ind w:left="1020" w:hanging="360"/>
      </w:pPr>
    </w:lvl>
    <w:lvl w:ilvl="3" w:tplc="039CD91E">
      <w:start w:val="1"/>
      <w:numFmt w:val="decimal"/>
      <w:lvlText w:val="%4."/>
      <w:lvlJc w:val="left"/>
      <w:pPr>
        <w:ind w:left="1020" w:hanging="360"/>
      </w:pPr>
    </w:lvl>
    <w:lvl w:ilvl="4" w:tplc="F8741E08">
      <w:start w:val="1"/>
      <w:numFmt w:val="decimal"/>
      <w:lvlText w:val="%5."/>
      <w:lvlJc w:val="left"/>
      <w:pPr>
        <w:ind w:left="1020" w:hanging="360"/>
      </w:pPr>
    </w:lvl>
    <w:lvl w:ilvl="5" w:tplc="6AB650E6">
      <w:start w:val="1"/>
      <w:numFmt w:val="decimal"/>
      <w:lvlText w:val="%6."/>
      <w:lvlJc w:val="left"/>
      <w:pPr>
        <w:ind w:left="1020" w:hanging="360"/>
      </w:pPr>
    </w:lvl>
    <w:lvl w:ilvl="6" w:tplc="DA4E82AE">
      <w:start w:val="1"/>
      <w:numFmt w:val="decimal"/>
      <w:lvlText w:val="%7."/>
      <w:lvlJc w:val="left"/>
      <w:pPr>
        <w:ind w:left="1020" w:hanging="360"/>
      </w:pPr>
    </w:lvl>
    <w:lvl w:ilvl="7" w:tplc="BCB272C8">
      <w:start w:val="1"/>
      <w:numFmt w:val="decimal"/>
      <w:lvlText w:val="%8."/>
      <w:lvlJc w:val="left"/>
      <w:pPr>
        <w:ind w:left="1020" w:hanging="360"/>
      </w:pPr>
    </w:lvl>
    <w:lvl w:ilvl="8" w:tplc="F0C2D7EE">
      <w:start w:val="1"/>
      <w:numFmt w:val="decimal"/>
      <w:lvlText w:val="%9."/>
      <w:lvlJc w:val="left"/>
      <w:pPr>
        <w:ind w:left="1020" w:hanging="360"/>
      </w:pPr>
    </w:lvl>
  </w:abstractNum>
  <w:abstractNum w:abstractNumId="36" w15:restartNumberingAfterBreak="0">
    <w:nsid w:val="63A757D5"/>
    <w:multiLevelType w:val="singleLevel"/>
    <w:tmpl w:val="92B6EFF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37" w15:restartNumberingAfterBreak="0">
    <w:nsid w:val="6A6444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6D022F7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FAE40EF"/>
    <w:multiLevelType w:val="hybridMultilevel"/>
    <w:tmpl w:val="47F848EC"/>
    <w:lvl w:ilvl="0" w:tplc="39DE455C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348" w:hanging="360"/>
      </w:pPr>
    </w:lvl>
    <w:lvl w:ilvl="2" w:tplc="0415001B" w:tentative="1">
      <w:start w:val="1"/>
      <w:numFmt w:val="lowerRoman"/>
      <w:lvlText w:val="%3."/>
      <w:lvlJc w:val="right"/>
      <w:pPr>
        <w:ind w:left="4068" w:hanging="180"/>
      </w:pPr>
    </w:lvl>
    <w:lvl w:ilvl="3" w:tplc="0415000F" w:tentative="1">
      <w:start w:val="1"/>
      <w:numFmt w:val="decimal"/>
      <w:lvlText w:val="%4."/>
      <w:lvlJc w:val="left"/>
      <w:pPr>
        <w:ind w:left="4788" w:hanging="360"/>
      </w:pPr>
    </w:lvl>
    <w:lvl w:ilvl="4" w:tplc="04150019" w:tentative="1">
      <w:start w:val="1"/>
      <w:numFmt w:val="lowerLetter"/>
      <w:lvlText w:val="%5."/>
      <w:lvlJc w:val="left"/>
      <w:pPr>
        <w:ind w:left="5508" w:hanging="360"/>
      </w:pPr>
    </w:lvl>
    <w:lvl w:ilvl="5" w:tplc="0415001B" w:tentative="1">
      <w:start w:val="1"/>
      <w:numFmt w:val="lowerRoman"/>
      <w:lvlText w:val="%6."/>
      <w:lvlJc w:val="right"/>
      <w:pPr>
        <w:ind w:left="6228" w:hanging="180"/>
      </w:pPr>
    </w:lvl>
    <w:lvl w:ilvl="6" w:tplc="0415000F" w:tentative="1">
      <w:start w:val="1"/>
      <w:numFmt w:val="decimal"/>
      <w:lvlText w:val="%7."/>
      <w:lvlJc w:val="left"/>
      <w:pPr>
        <w:ind w:left="6948" w:hanging="360"/>
      </w:pPr>
    </w:lvl>
    <w:lvl w:ilvl="7" w:tplc="04150019" w:tentative="1">
      <w:start w:val="1"/>
      <w:numFmt w:val="lowerLetter"/>
      <w:lvlText w:val="%8."/>
      <w:lvlJc w:val="left"/>
      <w:pPr>
        <w:ind w:left="7668" w:hanging="360"/>
      </w:pPr>
    </w:lvl>
    <w:lvl w:ilvl="8" w:tplc="0415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40" w15:restartNumberingAfterBreak="0">
    <w:nsid w:val="76600E1C"/>
    <w:multiLevelType w:val="singleLevel"/>
    <w:tmpl w:val="917A9C2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1" w15:restartNumberingAfterBreak="0">
    <w:nsid w:val="773D30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70168945">
    <w:abstractNumId w:val="24"/>
  </w:num>
  <w:num w:numId="2" w16cid:durableId="1038966367">
    <w:abstractNumId w:val="24"/>
  </w:num>
  <w:num w:numId="3" w16cid:durableId="852957911">
    <w:abstractNumId w:val="19"/>
  </w:num>
  <w:num w:numId="4" w16cid:durableId="83573041">
    <w:abstractNumId w:val="19"/>
  </w:num>
  <w:num w:numId="5" w16cid:durableId="881136881">
    <w:abstractNumId w:val="40"/>
  </w:num>
  <w:num w:numId="6" w16cid:durableId="210313286">
    <w:abstractNumId w:val="36"/>
  </w:num>
  <w:num w:numId="7" w16cid:durableId="1603681780">
    <w:abstractNumId w:val="40"/>
  </w:num>
  <w:num w:numId="8" w16cid:durableId="1351029814">
    <w:abstractNumId w:val="36"/>
  </w:num>
  <w:num w:numId="9" w16cid:durableId="1284537234">
    <w:abstractNumId w:val="40"/>
  </w:num>
  <w:num w:numId="10" w16cid:durableId="24915060">
    <w:abstractNumId w:val="36"/>
  </w:num>
  <w:num w:numId="11" w16cid:durableId="941381649">
    <w:abstractNumId w:val="15"/>
  </w:num>
  <w:num w:numId="12" w16cid:durableId="1444306115">
    <w:abstractNumId w:val="10"/>
  </w:num>
  <w:num w:numId="13" w16cid:durableId="1469859562">
    <w:abstractNumId w:val="16"/>
  </w:num>
  <w:num w:numId="14" w16cid:durableId="751901803">
    <w:abstractNumId w:val="28"/>
  </w:num>
  <w:num w:numId="15" w16cid:durableId="1799833727">
    <w:abstractNumId w:val="15"/>
  </w:num>
  <w:num w:numId="16" w16cid:durableId="516847877">
    <w:abstractNumId w:val="17"/>
  </w:num>
  <w:num w:numId="17" w16cid:durableId="2082947313">
    <w:abstractNumId w:val="8"/>
  </w:num>
  <w:num w:numId="18" w16cid:durableId="924411640">
    <w:abstractNumId w:val="3"/>
  </w:num>
  <w:num w:numId="19" w16cid:durableId="1903976356">
    <w:abstractNumId w:val="2"/>
  </w:num>
  <w:num w:numId="20" w16cid:durableId="1059745139">
    <w:abstractNumId w:val="1"/>
  </w:num>
  <w:num w:numId="21" w16cid:durableId="1405755689">
    <w:abstractNumId w:val="0"/>
  </w:num>
  <w:num w:numId="22" w16cid:durableId="185481404">
    <w:abstractNumId w:val="9"/>
  </w:num>
  <w:num w:numId="23" w16cid:durableId="1143086921">
    <w:abstractNumId w:val="7"/>
  </w:num>
  <w:num w:numId="24" w16cid:durableId="920063248">
    <w:abstractNumId w:val="6"/>
  </w:num>
  <w:num w:numId="25" w16cid:durableId="324012398">
    <w:abstractNumId w:val="5"/>
  </w:num>
  <w:num w:numId="26" w16cid:durableId="115566249">
    <w:abstractNumId w:val="4"/>
  </w:num>
  <w:num w:numId="27" w16cid:durableId="1178735744">
    <w:abstractNumId w:val="38"/>
  </w:num>
  <w:num w:numId="28" w16cid:durableId="1253853390">
    <w:abstractNumId w:val="27"/>
  </w:num>
  <w:num w:numId="29" w16cid:durableId="2086292112">
    <w:abstractNumId w:val="41"/>
  </w:num>
  <w:num w:numId="30" w16cid:durableId="1924534127">
    <w:abstractNumId w:val="37"/>
  </w:num>
  <w:num w:numId="31" w16cid:durableId="961421642">
    <w:abstractNumId w:val="20"/>
  </w:num>
  <w:num w:numId="32" w16cid:durableId="1655644826">
    <w:abstractNumId w:val="11"/>
  </w:num>
  <w:num w:numId="33" w16cid:durableId="2139950537">
    <w:abstractNumId w:val="34"/>
  </w:num>
  <w:num w:numId="34" w16cid:durableId="1432504437">
    <w:abstractNumId w:val="21"/>
  </w:num>
  <w:num w:numId="35" w16cid:durableId="396322676">
    <w:abstractNumId w:val="18"/>
  </w:num>
  <w:num w:numId="36" w16cid:durableId="642084508">
    <w:abstractNumId w:val="23"/>
  </w:num>
  <w:num w:numId="37" w16cid:durableId="27994606">
    <w:abstractNumId w:val="29"/>
  </w:num>
  <w:num w:numId="38" w16cid:durableId="1603755925">
    <w:abstractNumId w:val="25"/>
  </w:num>
  <w:num w:numId="39" w16cid:durableId="1240604197">
    <w:abstractNumId w:val="14"/>
  </w:num>
  <w:num w:numId="40" w16cid:durableId="322585715">
    <w:abstractNumId w:val="33"/>
  </w:num>
  <w:num w:numId="41" w16cid:durableId="567349699">
    <w:abstractNumId w:val="32"/>
  </w:num>
  <w:num w:numId="42" w16cid:durableId="1081029926">
    <w:abstractNumId w:val="22"/>
  </w:num>
  <w:num w:numId="43" w16cid:durableId="447315719">
    <w:abstractNumId w:val="39"/>
  </w:num>
  <w:num w:numId="44" w16cid:durableId="1722707820">
    <w:abstractNumId w:val="13"/>
  </w:num>
  <w:num w:numId="45" w16cid:durableId="674919170">
    <w:abstractNumId w:val="35"/>
  </w:num>
  <w:num w:numId="46" w16cid:durableId="586964037">
    <w:abstractNumId w:val="26"/>
  </w:num>
  <w:num w:numId="47" w16cid:durableId="1192649774">
    <w:abstractNumId w:val="31"/>
  </w:num>
  <w:num w:numId="48" w16cid:durableId="2064136694">
    <w:abstractNumId w:val="12"/>
  </w:num>
  <w:num w:numId="49" w16cid:durableId="1420054474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attachedTemplate r:id="rId1"/>
  <w:stylePaneFormatFilter w:val="7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1" w:alternateStyleNames="0"/>
  <w:trackRevisions/>
  <w:documentProtection w:formatting="1" w:enforcement="1"/>
  <w:styleLockTheme/>
  <w:styleLockQFSet/>
  <w:defaultTabStop w:val="170"/>
  <w:hyphenationZone w:val="425"/>
  <w:drawingGridHorizontalSpacing w:val="187"/>
  <w:displayHorizontalDrawingGridEvery w:val="0"/>
  <w:displayVerticalDrawingGridEvery w:val="0"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055F"/>
    <w:rsid w:val="000012DA"/>
    <w:rsid w:val="0000246E"/>
    <w:rsid w:val="00003862"/>
    <w:rsid w:val="00011657"/>
    <w:rsid w:val="00012A35"/>
    <w:rsid w:val="00016099"/>
    <w:rsid w:val="00017DC2"/>
    <w:rsid w:val="00021522"/>
    <w:rsid w:val="00023471"/>
    <w:rsid w:val="00023F13"/>
    <w:rsid w:val="00030634"/>
    <w:rsid w:val="000319C1"/>
    <w:rsid w:val="00031A8B"/>
    <w:rsid w:val="00031BCA"/>
    <w:rsid w:val="000330FA"/>
    <w:rsid w:val="0003362F"/>
    <w:rsid w:val="00036B63"/>
    <w:rsid w:val="00037E1A"/>
    <w:rsid w:val="00040AEE"/>
    <w:rsid w:val="00042946"/>
    <w:rsid w:val="00043495"/>
    <w:rsid w:val="00046A75"/>
    <w:rsid w:val="00047312"/>
    <w:rsid w:val="000508BD"/>
    <w:rsid w:val="000517AB"/>
    <w:rsid w:val="0005339C"/>
    <w:rsid w:val="0005571B"/>
    <w:rsid w:val="00057AB3"/>
    <w:rsid w:val="00060076"/>
    <w:rsid w:val="00060432"/>
    <w:rsid w:val="00060D87"/>
    <w:rsid w:val="000615A5"/>
    <w:rsid w:val="00064E4C"/>
    <w:rsid w:val="00066901"/>
    <w:rsid w:val="00071BEE"/>
    <w:rsid w:val="000736CD"/>
    <w:rsid w:val="0007533B"/>
    <w:rsid w:val="0007545D"/>
    <w:rsid w:val="000760BF"/>
    <w:rsid w:val="0007613E"/>
    <w:rsid w:val="00076BFC"/>
    <w:rsid w:val="000814A7"/>
    <w:rsid w:val="0008557B"/>
    <w:rsid w:val="00085CE7"/>
    <w:rsid w:val="000906EE"/>
    <w:rsid w:val="00091BA2"/>
    <w:rsid w:val="000944EF"/>
    <w:rsid w:val="0009732D"/>
    <w:rsid w:val="000973F0"/>
    <w:rsid w:val="000A1296"/>
    <w:rsid w:val="000A1C27"/>
    <w:rsid w:val="000A1DAD"/>
    <w:rsid w:val="000A2649"/>
    <w:rsid w:val="000A323B"/>
    <w:rsid w:val="000B298D"/>
    <w:rsid w:val="000B5B2D"/>
    <w:rsid w:val="000B5DCE"/>
    <w:rsid w:val="000C05BA"/>
    <w:rsid w:val="000C0E8F"/>
    <w:rsid w:val="000C4BC4"/>
    <w:rsid w:val="000D0110"/>
    <w:rsid w:val="000D2468"/>
    <w:rsid w:val="000D318A"/>
    <w:rsid w:val="000D4940"/>
    <w:rsid w:val="000D6173"/>
    <w:rsid w:val="000D6F83"/>
    <w:rsid w:val="000E25CC"/>
    <w:rsid w:val="000E3694"/>
    <w:rsid w:val="000E490F"/>
    <w:rsid w:val="000E6241"/>
    <w:rsid w:val="000F2BE3"/>
    <w:rsid w:val="000F3D0D"/>
    <w:rsid w:val="000F6ED4"/>
    <w:rsid w:val="000F7A6E"/>
    <w:rsid w:val="001042BA"/>
    <w:rsid w:val="00106D03"/>
    <w:rsid w:val="00110465"/>
    <w:rsid w:val="00110628"/>
    <w:rsid w:val="0011245A"/>
    <w:rsid w:val="0011493E"/>
    <w:rsid w:val="00115B72"/>
    <w:rsid w:val="001209EC"/>
    <w:rsid w:val="00120A9E"/>
    <w:rsid w:val="0012239B"/>
    <w:rsid w:val="00125A9C"/>
    <w:rsid w:val="001270A2"/>
    <w:rsid w:val="00131237"/>
    <w:rsid w:val="001329AC"/>
    <w:rsid w:val="00134CA0"/>
    <w:rsid w:val="0014026F"/>
    <w:rsid w:val="00147A47"/>
    <w:rsid w:val="00147AA1"/>
    <w:rsid w:val="001520CF"/>
    <w:rsid w:val="0015667C"/>
    <w:rsid w:val="00157110"/>
    <w:rsid w:val="0015742A"/>
    <w:rsid w:val="00157DA1"/>
    <w:rsid w:val="00163147"/>
    <w:rsid w:val="00164C57"/>
    <w:rsid w:val="00164C9D"/>
    <w:rsid w:val="00172F7A"/>
    <w:rsid w:val="00173150"/>
    <w:rsid w:val="00173390"/>
    <w:rsid w:val="001736F0"/>
    <w:rsid w:val="00173BB3"/>
    <w:rsid w:val="00173C8F"/>
    <w:rsid w:val="001740D0"/>
    <w:rsid w:val="00174F2C"/>
    <w:rsid w:val="00180F2A"/>
    <w:rsid w:val="0018347A"/>
    <w:rsid w:val="00184B91"/>
    <w:rsid w:val="00184D4A"/>
    <w:rsid w:val="00186EC1"/>
    <w:rsid w:val="00191E1F"/>
    <w:rsid w:val="0019473B"/>
    <w:rsid w:val="001952B1"/>
    <w:rsid w:val="00196E39"/>
    <w:rsid w:val="00197649"/>
    <w:rsid w:val="001A01FB"/>
    <w:rsid w:val="001A10E9"/>
    <w:rsid w:val="001A183D"/>
    <w:rsid w:val="001A2B65"/>
    <w:rsid w:val="001A3CD3"/>
    <w:rsid w:val="001A5BEF"/>
    <w:rsid w:val="001A7F15"/>
    <w:rsid w:val="001B342E"/>
    <w:rsid w:val="001C1832"/>
    <w:rsid w:val="001C188C"/>
    <w:rsid w:val="001D1783"/>
    <w:rsid w:val="001D33E5"/>
    <w:rsid w:val="001D53CD"/>
    <w:rsid w:val="001D55A3"/>
    <w:rsid w:val="001D5AF5"/>
    <w:rsid w:val="001E1E73"/>
    <w:rsid w:val="001E4E0C"/>
    <w:rsid w:val="001E526D"/>
    <w:rsid w:val="001E5655"/>
    <w:rsid w:val="001F1832"/>
    <w:rsid w:val="001F220F"/>
    <w:rsid w:val="001F25B3"/>
    <w:rsid w:val="001F6616"/>
    <w:rsid w:val="00202BD4"/>
    <w:rsid w:val="00204A97"/>
    <w:rsid w:val="002114EF"/>
    <w:rsid w:val="002166AD"/>
    <w:rsid w:val="002175AC"/>
    <w:rsid w:val="00217871"/>
    <w:rsid w:val="00221ED8"/>
    <w:rsid w:val="002231EA"/>
    <w:rsid w:val="00223FDF"/>
    <w:rsid w:val="002279C0"/>
    <w:rsid w:val="00227A05"/>
    <w:rsid w:val="00234FB6"/>
    <w:rsid w:val="0023727E"/>
    <w:rsid w:val="00242081"/>
    <w:rsid w:val="00243777"/>
    <w:rsid w:val="002441CD"/>
    <w:rsid w:val="002501A3"/>
    <w:rsid w:val="0025166C"/>
    <w:rsid w:val="002555D4"/>
    <w:rsid w:val="00261A16"/>
    <w:rsid w:val="00263522"/>
    <w:rsid w:val="00264EC6"/>
    <w:rsid w:val="00271013"/>
    <w:rsid w:val="002719B0"/>
    <w:rsid w:val="00273FE4"/>
    <w:rsid w:val="002765B4"/>
    <w:rsid w:val="00276A94"/>
    <w:rsid w:val="0029405D"/>
    <w:rsid w:val="00294FA6"/>
    <w:rsid w:val="00295A6F"/>
    <w:rsid w:val="002A20C4"/>
    <w:rsid w:val="002A570F"/>
    <w:rsid w:val="002A7292"/>
    <w:rsid w:val="002A7358"/>
    <w:rsid w:val="002A7902"/>
    <w:rsid w:val="002B0F6B"/>
    <w:rsid w:val="002B23B8"/>
    <w:rsid w:val="002B4429"/>
    <w:rsid w:val="002B68A6"/>
    <w:rsid w:val="002B7FAF"/>
    <w:rsid w:val="002D0C4F"/>
    <w:rsid w:val="002D1364"/>
    <w:rsid w:val="002D34CD"/>
    <w:rsid w:val="002D4D30"/>
    <w:rsid w:val="002D5000"/>
    <w:rsid w:val="002D598D"/>
    <w:rsid w:val="002D7188"/>
    <w:rsid w:val="002E1DE3"/>
    <w:rsid w:val="002E2AB6"/>
    <w:rsid w:val="002E3F34"/>
    <w:rsid w:val="002E5F79"/>
    <w:rsid w:val="002E64FA"/>
    <w:rsid w:val="002F0A00"/>
    <w:rsid w:val="002F0CFA"/>
    <w:rsid w:val="002F2BBE"/>
    <w:rsid w:val="002F669F"/>
    <w:rsid w:val="00301C97"/>
    <w:rsid w:val="0031004C"/>
    <w:rsid w:val="003105F6"/>
    <w:rsid w:val="00310C57"/>
    <w:rsid w:val="00311297"/>
    <w:rsid w:val="003113BE"/>
    <w:rsid w:val="00312258"/>
    <w:rsid w:val="003122CA"/>
    <w:rsid w:val="003148FD"/>
    <w:rsid w:val="00321080"/>
    <w:rsid w:val="00322D45"/>
    <w:rsid w:val="0032569A"/>
    <w:rsid w:val="00325A1F"/>
    <w:rsid w:val="00325DA3"/>
    <w:rsid w:val="003268F9"/>
    <w:rsid w:val="00330BAF"/>
    <w:rsid w:val="00331794"/>
    <w:rsid w:val="00334E3A"/>
    <w:rsid w:val="003361DD"/>
    <w:rsid w:val="00341A6A"/>
    <w:rsid w:val="00345B9C"/>
    <w:rsid w:val="00352DAE"/>
    <w:rsid w:val="00354EB9"/>
    <w:rsid w:val="003602AE"/>
    <w:rsid w:val="00360929"/>
    <w:rsid w:val="00361CCC"/>
    <w:rsid w:val="003647D5"/>
    <w:rsid w:val="003674B0"/>
    <w:rsid w:val="00370470"/>
    <w:rsid w:val="00372365"/>
    <w:rsid w:val="003725EC"/>
    <w:rsid w:val="0037727C"/>
    <w:rsid w:val="00377E70"/>
    <w:rsid w:val="00380904"/>
    <w:rsid w:val="003823EE"/>
    <w:rsid w:val="00382960"/>
    <w:rsid w:val="003846F7"/>
    <w:rsid w:val="003851ED"/>
    <w:rsid w:val="00385B39"/>
    <w:rsid w:val="00386785"/>
    <w:rsid w:val="00390E89"/>
    <w:rsid w:val="00391B1A"/>
    <w:rsid w:val="00394423"/>
    <w:rsid w:val="00396942"/>
    <w:rsid w:val="00396B49"/>
    <w:rsid w:val="00396E3E"/>
    <w:rsid w:val="003A306E"/>
    <w:rsid w:val="003A60DC"/>
    <w:rsid w:val="003A6A46"/>
    <w:rsid w:val="003A7A63"/>
    <w:rsid w:val="003A7D5D"/>
    <w:rsid w:val="003B000C"/>
    <w:rsid w:val="003B0F1D"/>
    <w:rsid w:val="003B4A57"/>
    <w:rsid w:val="003C0AD9"/>
    <w:rsid w:val="003C0ED0"/>
    <w:rsid w:val="003C1D49"/>
    <w:rsid w:val="003C35C4"/>
    <w:rsid w:val="003C3DA7"/>
    <w:rsid w:val="003D12C2"/>
    <w:rsid w:val="003D31B9"/>
    <w:rsid w:val="003D3867"/>
    <w:rsid w:val="003E0D1A"/>
    <w:rsid w:val="003E2DA3"/>
    <w:rsid w:val="003F012C"/>
    <w:rsid w:val="003F020D"/>
    <w:rsid w:val="003F03D9"/>
    <w:rsid w:val="003F2FBE"/>
    <w:rsid w:val="003F318D"/>
    <w:rsid w:val="003F5BAE"/>
    <w:rsid w:val="003F6ED7"/>
    <w:rsid w:val="00401C84"/>
    <w:rsid w:val="00402EF7"/>
    <w:rsid w:val="00403210"/>
    <w:rsid w:val="004035BB"/>
    <w:rsid w:val="004035EB"/>
    <w:rsid w:val="00407332"/>
    <w:rsid w:val="00407828"/>
    <w:rsid w:val="00413D8E"/>
    <w:rsid w:val="004140F2"/>
    <w:rsid w:val="00417B22"/>
    <w:rsid w:val="00421085"/>
    <w:rsid w:val="0042198C"/>
    <w:rsid w:val="0042465E"/>
    <w:rsid w:val="00424DF7"/>
    <w:rsid w:val="00432B76"/>
    <w:rsid w:val="00434D01"/>
    <w:rsid w:val="00435D26"/>
    <w:rsid w:val="00440C99"/>
    <w:rsid w:val="0044175C"/>
    <w:rsid w:val="00441A08"/>
    <w:rsid w:val="004444D0"/>
    <w:rsid w:val="00445F4D"/>
    <w:rsid w:val="004504C0"/>
    <w:rsid w:val="004550FB"/>
    <w:rsid w:val="00456B00"/>
    <w:rsid w:val="0046111A"/>
    <w:rsid w:val="00462946"/>
    <w:rsid w:val="00463F43"/>
    <w:rsid w:val="00464B94"/>
    <w:rsid w:val="004653A8"/>
    <w:rsid w:val="00465A0B"/>
    <w:rsid w:val="0047077C"/>
    <w:rsid w:val="00470B05"/>
    <w:rsid w:val="004717C7"/>
    <w:rsid w:val="0047207C"/>
    <w:rsid w:val="00472CD6"/>
    <w:rsid w:val="00474E3C"/>
    <w:rsid w:val="00480A58"/>
    <w:rsid w:val="00482151"/>
    <w:rsid w:val="00485FAD"/>
    <w:rsid w:val="00487AED"/>
    <w:rsid w:val="00491EDF"/>
    <w:rsid w:val="00492A3F"/>
    <w:rsid w:val="00493CB9"/>
    <w:rsid w:val="00494F62"/>
    <w:rsid w:val="004A2001"/>
    <w:rsid w:val="004A3590"/>
    <w:rsid w:val="004B00A7"/>
    <w:rsid w:val="004B0B5F"/>
    <w:rsid w:val="004B25E2"/>
    <w:rsid w:val="004B2F97"/>
    <w:rsid w:val="004B34D7"/>
    <w:rsid w:val="004B5037"/>
    <w:rsid w:val="004B5B2F"/>
    <w:rsid w:val="004B626A"/>
    <w:rsid w:val="004B660E"/>
    <w:rsid w:val="004B78A6"/>
    <w:rsid w:val="004C05BD"/>
    <w:rsid w:val="004C3B06"/>
    <w:rsid w:val="004C3F97"/>
    <w:rsid w:val="004C7EE7"/>
    <w:rsid w:val="004D2DEE"/>
    <w:rsid w:val="004D2E1F"/>
    <w:rsid w:val="004D7FD9"/>
    <w:rsid w:val="004E1324"/>
    <w:rsid w:val="004E19A5"/>
    <w:rsid w:val="004E37E5"/>
    <w:rsid w:val="004E3FDB"/>
    <w:rsid w:val="004F1F4A"/>
    <w:rsid w:val="004F296D"/>
    <w:rsid w:val="004F508B"/>
    <w:rsid w:val="004F695F"/>
    <w:rsid w:val="004F6CA4"/>
    <w:rsid w:val="00500752"/>
    <w:rsid w:val="00500ADE"/>
    <w:rsid w:val="00501A50"/>
    <w:rsid w:val="0050222D"/>
    <w:rsid w:val="00503AF3"/>
    <w:rsid w:val="0050696D"/>
    <w:rsid w:val="0051094B"/>
    <w:rsid w:val="005110D7"/>
    <w:rsid w:val="00511D99"/>
    <w:rsid w:val="005128D3"/>
    <w:rsid w:val="005147E8"/>
    <w:rsid w:val="005158F2"/>
    <w:rsid w:val="00526DFC"/>
    <w:rsid w:val="00526F43"/>
    <w:rsid w:val="00527651"/>
    <w:rsid w:val="005363AB"/>
    <w:rsid w:val="00544EF4"/>
    <w:rsid w:val="00545E53"/>
    <w:rsid w:val="005479D9"/>
    <w:rsid w:val="005572BD"/>
    <w:rsid w:val="0055760D"/>
    <w:rsid w:val="00557A12"/>
    <w:rsid w:val="00560AC7"/>
    <w:rsid w:val="00561AFB"/>
    <w:rsid w:val="00561FA8"/>
    <w:rsid w:val="005635ED"/>
    <w:rsid w:val="00565253"/>
    <w:rsid w:val="00570191"/>
    <w:rsid w:val="00570570"/>
    <w:rsid w:val="00572512"/>
    <w:rsid w:val="00573EE6"/>
    <w:rsid w:val="0057547F"/>
    <w:rsid w:val="005754EE"/>
    <w:rsid w:val="0057617E"/>
    <w:rsid w:val="00576497"/>
    <w:rsid w:val="00577B00"/>
    <w:rsid w:val="005835E7"/>
    <w:rsid w:val="0058397F"/>
    <w:rsid w:val="00583BF8"/>
    <w:rsid w:val="00585F33"/>
    <w:rsid w:val="00591124"/>
    <w:rsid w:val="00597024"/>
    <w:rsid w:val="005A0274"/>
    <w:rsid w:val="005A095C"/>
    <w:rsid w:val="005A669D"/>
    <w:rsid w:val="005A75D8"/>
    <w:rsid w:val="005B0BD8"/>
    <w:rsid w:val="005B713E"/>
    <w:rsid w:val="005B7961"/>
    <w:rsid w:val="005C03B6"/>
    <w:rsid w:val="005C348E"/>
    <w:rsid w:val="005C68E1"/>
    <w:rsid w:val="005D3763"/>
    <w:rsid w:val="005D55E1"/>
    <w:rsid w:val="005E19F7"/>
    <w:rsid w:val="005E4F04"/>
    <w:rsid w:val="005E62C2"/>
    <w:rsid w:val="005E6C71"/>
    <w:rsid w:val="005F0963"/>
    <w:rsid w:val="005F2824"/>
    <w:rsid w:val="005F2EBA"/>
    <w:rsid w:val="005F35ED"/>
    <w:rsid w:val="005F7812"/>
    <w:rsid w:val="005F7A88"/>
    <w:rsid w:val="00601720"/>
    <w:rsid w:val="00603A1A"/>
    <w:rsid w:val="006046D5"/>
    <w:rsid w:val="00605714"/>
    <w:rsid w:val="00606BF5"/>
    <w:rsid w:val="00607A93"/>
    <w:rsid w:val="00610C08"/>
    <w:rsid w:val="00611F74"/>
    <w:rsid w:val="00613AE2"/>
    <w:rsid w:val="00615772"/>
    <w:rsid w:val="00620C60"/>
    <w:rsid w:val="00621256"/>
    <w:rsid w:val="00621FCC"/>
    <w:rsid w:val="00622E4B"/>
    <w:rsid w:val="00627417"/>
    <w:rsid w:val="006333DA"/>
    <w:rsid w:val="00635134"/>
    <w:rsid w:val="006356E2"/>
    <w:rsid w:val="00642A65"/>
    <w:rsid w:val="00645DCE"/>
    <w:rsid w:val="006465AC"/>
    <w:rsid w:val="006465BF"/>
    <w:rsid w:val="00653B22"/>
    <w:rsid w:val="00657BF4"/>
    <w:rsid w:val="006603FB"/>
    <w:rsid w:val="006608DF"/>
    <w:rsid w:val="006623AC"/>
    <w:rsid w:val="006678AF"/>
    <w:rsid w:val="006701EF"/>
    <w:rsid w:val="00673BA5"/>
    <w:rsid w:val="00680058"/>
    <w:rsid w:val="00681F9F"/>
    <w:rsid w:val="006840EA"/>
    <w:rsid w:val="006844E2"/>
    <w:rsid w:val="00685267"/>
    <w:rsid w:val="00685F6A"/>
    <w:rsid w:val="006872AE"/>
    <w:rsid w:val="00690082"/>
    <w:rsid w:val="00690252"/>
    <w:rsid w:val="006946BB"/>
    <w:rsid w:val="006969FA"/>
    <w:rsid w:val="006A35D5"/>
    <w:rsid w:val="006A495B"/>
    <w:rsid w:val="006A748A"/>
    <w:rsid w:val="006C419E"/>
    <w:rsid w:val="006C4A31"/>
    <w:rsid w:val="006C5AC2"/>
    <w:rsid w:val="006C6AFB"/>
    <w:rsid w:val="006D2735"/>
    <w:rsid w:val="006D45B2"/>
    <w:rsid w:val="006D634F"/>
    <w:rsid w:val="006E0FCC"/>
    <w:rsid w:val="006E1E96"/>
    <w:rsid w:val="006E5C5B"/>
    <w:rsid w:val="006E5E21"/>
    <w:rsid w:val="006F2648"/>
    <w:rsid w:val="006F2F10"/>
    <w:rsid w:val="006F482B"/>
    <w:rsid w:val="006F6311"/>
    <w:rsid w:val="00701952"/>
    <w:rsid w:val="00702556"/>
    <w:rsid w:val="0070277E"/>
    <w:rsid w:val="00704156"/>
    <w:rsid w:val="007069FC"/>
    <w:rsid w:val="00711221"/>
    <w:rsid w:val="00712675"/>
    <w:rsid w:val="00713808"/>
    <w:rsid w:val="007151B6"/>
    <w:rsid w:val="0071520D"/>
    <w:rsid w:val="00715EDB"/>
    <w:rsid w:val="007160D5"/>
    <w:rsid w:val="007163FB"/>
    <w:rsid w:val="00716C5F"/>
    <w:rsid w:val="00717C2E"/>
    <w:rsid w:val="00717E26"/>
    <w:rsid w:val="007204FA"/>
    <w:rsid w:val="007213B3"/>
    <w:rsid w:val="00721AA4"/>
    <w:rsid w:val="0072457F"/>
    <w:rsid w:val="00725406"/>
    <w:rsid w:val="0072621B"/>
    <w:rsid w:val="00730555"/>
    <w:rsid w:val="007312CC"/>
    <w:rsid w:val="00736A64"/>
    <w:rsid w:val="00737F6A"/>
    <w:rsid w:val="007410B6"/>
    <w:rsid w:val="00744C6F"/>
    <w:rsid w:val="007457F6"/>
    <w:rsid w:val="00745ABB"/>
    <w:rsid w:val="00746E38"/>
    <w:rsid w:val="00747CD5"/>
    <w:rsid w:val="00753B51"/>
    <w:rsid w:val="00753E85"/>
    <w:rsid w:val="00756629"/>
    <w:rsid w:val="007575D2"/>
    <w:rsid w:val="00757B4F"/>
    <w:rsid w:val="00757B6A"/>
    <w:rsid w:val="007610E0"/>
    <w:rsid w:val="00761970"/>
    <w:rsid w:val="007621AA"/>
    <w:rsid w:val="0076260A"/>
    <w:rsid w:val="00764A67"/>
    <w:rsid w:val="00770F6B"/>
    <w:rsid w:val="00771883"/>
    <w:rsid w:val="00776DC2"/>
    <w:rsid w:val="00780122"/>
    <w:rsid w:val="0078214B"/>
    <w:rsid w:val="0078498A"/>
    <w:rsid w:val="007878FE"/>
    <w:rsid w:val="00792207"/>
    <w:rsid w:val="00792B64"/>
    <w:rsid w:val="00792E29"/>
    <w:rsid w:val="0079379A"/>
    <w:rsid w:val="00794953"/>
    <w:rsid w:val="007A1F2F"/>
    <w:rsid w:val="007A2A5C"/>
    <w:rsid w:val="007A5150"/>
    <w:rsid w:val="007A5373"/>
    <w:rsid w:val="007A789F"/>
    <w:rsid w:val="007B75BC"/>
    <w:rsid w:val="007C0BD6"/>
    <w:rsid w:val="007C3806"/>
    <w:rsid w:val="007C5BB7"/>
    <w:rsid w:val="007D07D5"/>
    <w:rsid w:val="007D1C64"/>
    <w:rsid w:val="007D32DD"/>
    <w:rsid w:val="007D6DCE"/>
    <w:rsid w:val="007D72C4"/>
    <w:rsid w:val="007E2CFE"/>
    <w:rsid w:val="007E59C9"/>
    <w:rsid w:val="007F0072"/>
    <w:rsid w:val="007F1054"/>
    <w:rsid w:val="007F2EB6"/>
    <w:rsid w:val="007F54C3"/>
    <w:rsid w:val="007F6B04"/>
    <w:rsid w:val="00802949"/>
    <w:rsid w:val="0080301E"/>
    <w:rsid w:val="0080365F"/>
    <w:rsid w:val="00805962"/>
    <w:rsid w:val="00812BE5"/>
    <w:rsid w:val="00817429"/>
    <w:rsid w:val="00821514"/>
    <w:rsid w:val="00821E35"/>
    <w:rsid w:val="00824591"/>
    <w:rsid w:val="00824AED"/>
    <w:rsid w:val="008267F0"/>
    <w:rsid w:val="00827820"/>
    <w:rsid w:val="00831B8B"/>
    <w:rsid w:val="0083405D"/>
    <w:rsid w:val="008352D4"/>
    <w:rsid w:val="00836DB9"/>
    <w:rsid w:val="00837C67"/>
    <w:rsid w:val="008415B0"/>
    <w:rsid w:val="00842028"/>
    <w:rsid w:val="008436B8"/>
    <w:rsid w:val="008460B6"/>
    <w:rsid w:val="00850C9D"/>
    <w:rsid w:val="00852B59"/>
    <w:rsid w:val="00855729"/>
    <w:rsid w:val="00856272"/>
    <w:rsid w:val="008563FF"/>
    <w:rsid w:val="0086018B"/>
    <w:rsid w:val="008611DD"/>
    <w:rsid w:val="008620DE"/>
    <w:rsid w:val="00866867"/>
    <w:rsid w:val="00872257"/>
    <w:rsid w:val="008753E6"/>
    <w:rsid w:val="0087738C"/>
    <w:rsid w:val="008802AF"/>
    <w:rsid w:val="00881926"/>
    <w:rsid w:val="0088318F"/>
    <w:rsid w:val="0088331D"/>
    <w:rsid w:val="008852B0"/>
    <w:rsid w:val="00885AE7"/>
    <w:rsid w:val="00886B60"/>
    <w:rsid w:val="00887524"/>
    <w:rsid w:val="00887889"/>
    <w:rsid w:val="008920FF"/>
    <w:rsid w:val="008923B2"/>
    <w:rsid w:val="008926E8"/>
    <w:rsid w:val="00894F19"/>
    <w:rsid w:val="00896A10"/>
    <w:rsid w:val="008971B5"/>
    <w:rsid w:val="008A5D26"/>
    <w:rsid w:val="008A6B13"/>
    <w:rsid w:val="008A6ECB"/>
    <w:rsid w:val="008B0BF9"/>
    <w:rsid w:val="008B2866"/>
    <w:rsid w:val="008B3859"/>
    <w:rsid w:val="008B436D"/>
    <w:rsid w:val="008B4E49"/>
    <w:rsid w:val="008B7712"/>
    <w:rsid w:val="008B7B26"/>
    <w:rsid w:val="008C3524"/>
    <w:rsid w:val="008C4061"/>
    <w:rsid w:val="008C4229"/>
    <w:rsid w:val="008C5BE0"/>
    <w:rsid w:val="008C7233"/>
    <w:rsid w:val="008D2434"/>
    <w:rsid w:val="008E171D"/>
    <w:rsid w:val="008E2785"/>
    <w:rsid w:val="008E78A3"/>
    <w:rsid w:val="008F0654"/>
    <w:rsid w:val="008F06CB"/>
    <w:rsid w:val="008F2E83"/>
    <w:rsid w:val="008F612A"/>
    <w:rsid w:val="0090293D"/>
    <w:rsid w:val="009034DE"/>
    <w:rsid w:val="00905396"/>
    <w:rsid w:val="0090605D"/>
    <w:rsid w:val="00906419"/>
    <w:rsid w:val="00912889"/>
    <w:rsid w:val="009135C4"/>
    <w:rsid w:val="00913A42"/>
    <w:rsid w:val="00914167"/>
    <w:rsid w:val="009143DB"/>
    <w:rsid w:val="00915065"/>
    <w:rsid w:val="009156E0"/>
    <w:rsid w:val="00917CE5"/>
    <w:rsid w:val="009217C0"/>
    <w:rsid w:val="00925241"/>
    <w:rsid w:val="00925CEC"/>
    <w:rsid w:val="00926A3F"/>
    <w:rsid w:val="0092794E"/>
    <w:rsid w:val="00930D30"/>
    <w:rsid w:val="009332A2"/>
    <w:rsid w:val="00937598"/>
    <w:rsid w:val="0093790B"/>
    <w:rsid w:val="00943751"/>
    <w:rsid w:val="00946DD0"/>
    <w:rsid w:val="009509E6"/>
    <w:rsid w:val="00952018"/>
    <w:rsid w:val="00952800"/>
    <w:rsid w:val="0095300D"/>
    <w:rsid w:val="00956812"/>
    <w:rsid w:val="0095719A"/>
    <w:rsid w:val="00962167"/>
    <w:rsid w:val="009623E9"/>
    <w:rsid w:val="00963EEB"/>
    <w:rsid w:val="009647D6"/>
    <w:rsid w:val="009648BC"/>
    <w:rsid w:val="00964C2F"/>
    <w:rsid w:val="00965D97"/>
    <w:rsid w:val="00965F88"/>
    <w:rsid w:val="00984E03"/>
    <w:rsid w:val="009863C1"/>
    <w:rsid w:val="00987E85"/>
    <w:rsid w:val="009923A6"/>
    <w:rsid w:val="009A0D12"/>
    <w:rsid w:val="009A1987"/>
    <w:rsid w:val="009A2BEE"/>
    <w:rsid w:val="009A5289"/>
    <w:rsid w:val="009A7A53"/>
    <w:rsid w:val="009B0402"/>
    <w:rsid w:val="009B0470"/>
    <w:rsid w:val="009B0B75"/>
    <w:rsid w:val="009B16DF"/>
    <w:rsid w:val="009B403C"/>
    <w:rsid w:val="009B4CB2"/>
    <w:rsid w:val="009B6701"/>
    <w:rsid w:val="009B6EF7"/>
    <w:rsid w:val="009B7000"/>
    <w:rsid w:val="009B739C"/>
    <w:rsid w:val="009C04EC"/>
    <w:rsid w:val="009C328C"/>
    <w:rsid w:val="009C4444"/>
    <w:rsid w:val="009C79AD"/>
    <w:rsid w:val="009C7CA6"/>
    <w:rsid w:val="009D3316"/>
    <w:rsid w:val="009D55AA"/>
    <w:rsid w:val="009E3E77"/>
    <w:rsid w:val="009E3FAB"/>
    <w:rsid w:val="009E5B3F"/>
    <w:rsid w:val="009E7D90"/>
    <w:rsid w:val="009F1AB0"/>
    <w:rsid w:val="009F501D"/>
    <w:rsid w:val="00A02202"/>
    <w:rsid w:val="00A039D5"/>
    <w:rsid w:val="00A046AD"/>
    <w:rsid w:val="00A079C1"/>
    <w:rsid w:val="00A12520"/>
    <w:rsid w:val="00A130FD"/>
    <w:rsid w:val="00A13D6D"/>
    <w:rsid w:val="00A14769"/>
    <w:rsid w:val="00A16151"/>
    <w:rsid w:val="00A164D7"/>
    <w:rsid w:val="00A16EC6"/>
    <w:rsid w:val="00A17C06"/>
    <w:rsid w:val="00A2026E"/>
    <w:rsid w:val="00A2126E"/>
    <w:rsid w:val="00A21706"/>
    <w:rsid w:val="00A24FCC"/>
    <w:rsid w:val="00A26A90"/>
    <w:rsid w:val="00A26B27"/>
    <w:rsid w:val="00A30E4F"/>
    <w:rsid w:val="00A32253"/>
    <w:rsid w:val="00A3310E"/>
    <w:rsid w:val="00A333A0"/>
    <w:rsid w:val="00A37E70"/>
    <w:rsid w:val="00A41BA1"/>
    <w:rsid w:val="00A437E1"/>
    <w:rsid w:val="00A4685E"/>
    <w:rsid w:val="00A50CD4"/>
    <w:rsid w:val="00A51191"/>
    <w:rsid w:val="00A56D62"/>
    <w:rsid w:val="00A56F07"/>
    <w:rsid w:val="00A5762C"/>
    <w:rsid w:val="00A600FC"/>
    <w:rsid w:val="00A60BCA"/>
    <w:rsid w:val="00A638DA"/>
    <w:rsid w:val="00A65B41"/>
    <w:rsid w:val="00A65E00"/>
    <w:rsid w:val="00A66A78"/>
    <w:rsid w:val="00A7436E"/>
    <w:rsid w:val="00A74E96"/>
    <w:rsid w:val="00A75A8E"/>
    <w:rsid w:val="00A75AEC"/>
    <w:rsid w:val="00A81235"/>
    <w:rsid w:val="00A824DD"/>
    <w:rsid w:val="00A83676"/>
    <w:rsid w:val="00A83B7B"/>
    <w:rsid w:val="00A84274"/>
    <w:rsid w:val="00A850F3"/>
    <w:rsid w:val="00A864E3"/>
    <w:rsid w:val="00A94574"/>
    <w:rsid w:val="00A95936"/>
    <w:rsid w:val="00A96265"/>
    <w:rsid w:val="00A97084"/>
    <w:rsid w:val="00AA1C2C"/>
    <w:rsid w:val="00AA35F6"/>
    <w:rsid w:val="00AA667C"/>
    <w:rsid w:val="00AA6E91"/>
    <w:rsid w:val="00AA7439"/>
    <w:rsid w:val="00AB047E"/>
    <w:rsid w:val="00AB0B0A"/>
    <w:rsid w:val="00AB0BB7"/>
    <w:rsid w:val="00AB22C6"/>
    <w:rsid w:val="00AB2AD0"/>
    <w:rsid w:val="00AB67FC"/>
    <w:rsid w:val="00AC00F2"/>
    <w:rsid w:val="00AC31B5"/>
    <w:rsid w:val="00AC3D11"/>
    <w:rsid w:val="00AC4EA1"/>
    <w:rsid w:val="00AC5381"/>
    <w:rsid w:val="00AC5920"/>
    <w:rsid w:val="00AD0E65"/>
    <w:rsid w:val="00AD2BF2"/>
    <w:rsid w:val="00AD4E90"/>
    <w:rsid w:val="00AD5422"/>
    <w:rsid w:val="00AE4179"/>
    <w:rsid w:val="00AE4425"/>
    <w:rsid w:val="00AE4FBE"/>
    <w:rsid w:val="00AE650F"/>
    <w:rsid w:val="00AE6555"/>
    <w:rsid w:val="00AE7D16"/>
    <w:rsid w:val="00AF4CAA"/>
    <w:rsid w:val="00AF571A"/>
    <w:rsid w:val="00AF5C13"/>
    <w:rsid w:val="00AF60A0"/>
    <w:rsid w:val="00AF67FC"/>
    <w:rsid w:val="00AF7DF5"/>
    <w:rsid w:val="00B006E5"/>
    <w:rsid w:val="00B024C2"/>
    <w:rsid w:val="00B07700"/>
    <w:rsid w:val="00B13921"/>
    <w:rsid w:val="00B13975"/>
    <w:rsid w:val="00B1528C"/>
    <w:rsid w:val="00B16ACD"/>
    <w:rsid w:val="00B21487"/>
    <w:rsid w:val="00B232D1"/>
    <w:rsid w:val="00B24DB5"/>
    <w:rsid w:val="00B31F9E"/>
    <w:rsid w:val="00B3268F"/>
    <w:rsid w:val="00B32C2C"/>
    <w:rsid w:val="00B33A1A"/>
    <w:rsid w:val="00B33E6C"/>
    <w:rsid w:val="00B34E34"/>
    <w:rsid w:val="00B371CC"/>
    <w:rsid w:val="00B41CD9"/>
    <w:rsid w:val="00B427E6"/>
    <w:rsid w:val="00B428A6"/>
    <w:rsid w:val="00B43E1F"/>
    <w:rsid w:val="00B45FBC"/>
    <w:rsid w:val="00B516F8"/>
    <w:rsid w:val="00B51A7D"/>
    <w:rsid w:val="00B535C2"/>
    <w:rsid w:val="00B55544"/>
    <w:rsid w:val="00B642FC"/>
    <w:rsid w:val="00B64D26"/>
    <w:rsid w:val="00B64FBB"/>
    <w:rsid w:val="00B70E22"/>
    <w:rsid w:val="00B7153C"/>
    <w:rsid w:val="00B774CB"/>
    <w:rsid w:val="00B80402"/>
    <w:rsid w:val="00B80B9A"/>
    <w:rsid w:val="00B830B7"/>
    <w:rsid w:val="00B848EA"/>
    <w:rsid w:val="00B84B2B"/>
    <w:rsid w:val="00B86CDC"/>
    <w:rsid w:val="00B87F4D"/>
    <w:rsid w:val="00B90500"/>
    <w:rsid w:val="00B90E77"/>
    <w:rsid w:val="00B9176C"/>
    <w:rsid w:val="00B935A4"/>
    <w:rsid w:val="00BA4004"/>
    <w:rsid w:val="00BA561A"/>
    <w:rsid w:val="00BB0DC6"/>
    <w:rsid w:val="00BB15E4"/>
    <w:rsid w:val="00BB1E19"/>
    <w:rsid w:val="00BB21D1"/>
    <w:rsid w:val="00BB32F2"/>
    <w:rsid w:val="00BB4338"/>
    <w:rsid w:val="00BB6C0E"/>
    <w:rsid w:val="00BB7B38"/>
    <w:rsid w:val="00BC11E5"/>
    <w:rsid w:val="00BC4BC6"/>
    <w:rsid w:val="00BC52FD"/>
    <w:rsid w:val="00BC6E62"/>
    <w:rsid w:val="00BC7443"/>
    <w:rsid w:val="00BD0648"/>
    <w:rsid w:val="00BD06F1"/>
    <w:rsid w:val="00BD1040"/>
    <w:rsid w:val="00BD34AA"/>
    <w:rsid w:val="00BE0C44"/>
    <w:rsid w:val="00BE1B8B"/>
    <w:rsid w:val="00BE2A18"/>
    <w:rsid w:val="00BE2C01"/>
    <w:rsid w:val="00BE41EC"/>
    <w:rsid w:val="00BE56FB"/>
    <w:rsid w:val="00BF2B17"/>
    <w:rsid w:val="00BF3DDE"/>
    <w:rsid w:val="00BF6589"/>
    <w:rsid w:val="00BF6F7F"/>
    <w:rsid w:val="00BF7830"/>
    <w:rsid w:val="00C00647"/>
    <w:rsid w:val="00C02764"/>
    <w:rsid w:val="00C04CEF"/>
    <w:rsid w:val="00C0662F"/>
    <w:rsid w:val="00C11943"/>
    <w:rsid w:val="00C12E96"/>
    <w:rsid w:val="00C14763"/>
    <w:rsid w:val="00C16141"/>
    <w:rsid w:val="00C2237F"/>
    <w:rsid w:val="00C2363F"/>
    <w:rsid w:val="00C236C8"/>
    <w:rsid w:val="00C260B1"/>
    <w:rsid w:val="00C26E56"/>
    <w:rsid w:val="00C3007C"/>
    <w:rsid w:val="00C31406"/>
    <w:rsid w:val="00C368DE"/>
    <w:rsid w:val="00C37194"/>
    <w:rsid w:val="00C40637"/>
    <w:rsid w:val="00C40F6C"/>
    <w:rsid w:val="00C44426"/>
    <w:rsid w:val="00C445F3"/>
    <w:rsid w:val="00C451F4"/>
    <w:rsid w:val="00C45EB1"/>
    <w:rsid w:val="00C47B76"/>
    <w:rsid w:val="00C54A3A"/>
    <w:rsid w:val="00C55566"/>
    <w:rsid w:val="00C56448"/>
    <w:rsid w:val="00C65683"/>
    <w:rsid w:val="00C66670"/>
    <w:rsid w:val="00C667BE"/>
    <w:rsid w:val="00C6766B"/>
    <w:rsid w:val="00C72223"/>
    <w:rsid w:val="00C76417"/>
    <w:rsid w:val="00C7726F"/>
    <w:rsid w:val="00C77AD1"/>
    <w:rsid w:val="00C823DA"/>
    <w:rsid w:val="00C8259F"/>
    <w:rsid w:val="00C82746"/>
    <w:rsid w:val="00C8312F"/>
    <w:rsid w:val="00C84C47"/>
    <w:rsid w:val="00C858A4"/>
    <w:rsid w:val="00C86AFA"/>
    <w:rsid w:val="00CA65F0"/>
    <w:rsid w:val="00CB18D0"/>
    <w:rsid w:val="00CB1C8A"/>
    <w:rsid w:val="00CB24F5"/>
    <w:rsid w:val="00CB2663"/>
    <w:rsid w:val="00CB3BBE"/>
    <w:rsid w:val="00CB59E9"/>
    <w:rsid w:val="00CC0D6A"/>
    <w:rsid w:val="00CC3831"/>
    <w:rsid w:val="00CC3E3D"/>
    <w:rsid w:val="00CC519B"/>
    <w:rsid w:val="00CD12C1"/>
    <w:rsid w:val="00CD214E"/>
    <w:rsid w:val="00CD46FA"/>
    <w:rsid w:val="00CD5973"/>
    <w:rsid w:val="00CE31A6"/>
    <w:rsid w:val="00CE5292"/>
    <w:rsid w:val="00CF09AA"/>
    <w:rsid w:val="00CF4813"/>
    <w:rsid w:val="00CF5233"/>
    <w:rsid w:val="00D029B8"/>
    <w:rsid w:val="00D02F60"/>
    <w:rsid w:val="00D0464E"/>
    <w:rsid w:val="00D04A96"/>
    <w:rsid w:val="00D07A7B"/>
    <w:rsid w:val="00D10E06"/>
    <w:rsid w:val="00D15197"/>
    <w:rsid w:val="00D16820"/>
    <w:rsid w:val="00D169C8"/>
    <w:rsid w:val="00D1793F"/>
    <w:rsid w:val="00D22AF5"/>
    <w:rsid w:val="00D235EA"/>
    <w:rsid w:val="00D247A9"/>
    <w:rsid w:val="00D32721"/>
    <w:rsid w:val="00D328DC"/>
    <w:rsid w:val="00D33387"/>
    <w:rsid w:val="00D402FB"/>
    <w:rsid w:val="00D4748A"/>
    <w:rsid w:val="00D47D7A"/>
    <w:rsid w:val="00D5055F"/>
    <w:rsid w:val="00D50ABD"/>
    <w:rsid w:val="00D55290"/>
    <w:rsid w:val="00D57791"/>
    <w:rsid w:val="00D6046A"/>
    <w:rsid w:val="00D62870"/>
    <w:rsid w:val="00D655D9"/>
    <w:rsid w:val="00D65872"/>
    <w:rsid w:val="00D676F3"/>
    <w:rsid w:val="00D70EF5"/>
    <w:rsid w:val="00D71024"/>
    <w:rsid w:val="00D71A18"/>
    <w:rsid w:val="00D71A25"/>
    <w:rsid w:val="00D71FCF"/>
    <w:rsid w:val="00D72A54"/>
    <w:rsid w:val="00D72CC1"/>
    <w:rsid w:val="00D76EC9"/>
    <w:rsid w:val="00D80E7D"/>
    <w:rsid w:val="00D81397"/>
    <w:rsid w:val="00D848B9"/>
    <w:rsid w:val="00D90E69"/>
    <w:rsid w:val="00D91368"/>
    <w:rsid w:val="00D93106"/>
    <w:rsid w:val="00D933E9"/>
    <w:rsid w:val="00D9505D"/>
    <w:rsid w:val="00D953D0"/>
    <w:rsid w:val="00D959F5"/>
    <w:rsid w:val="00D96884"/>
    <w:rsid w:val="00DA3FDD"/>
    <w:rsid w:val="00DA7017"/>
    <w:rsid w:val="00DA7028"/>
    <w:rsid w:val="00DB1AD2"/>
    <w:rsid w:val="00DB2B58"/>
    <w:rsid w:val="00DB5206"/>
    <w:rsid w:val="00DB6276"/>
    <w:rsid w:val="00DB63F5"/>
    <w:rsid w:val="00DC1C6B"/>
    <w:rsid w:val="00DC2C2E"/>
    <w:rsid w:val="00DC2F95"/>
    <w:rsid w:val="00DC4AF0"/>
    <w:rsid w:val="00DC7886"/>
    <w:rsid w:val="00DD0CF2"/>
    <w:rsid w:val="00DE0C54"/>
    <w:rsid w:val="00DE1554"/>
    <w:rsid w:val="00DE2901"/>
    <w:rsid w:val="00DE590F"/>
    <w:rsid w:val="00DE7DC1"/>
    <w:rsid w:val="00DF3F7E"/>
    <w:rsid w:val="00DF7648"/>
    <w:rsid w:val="00E00E29"/>
    <w:rsid w:val="00E02BAB"/>
    <w:rsid w:val="00E04CEB"/>
    <w:rsid w:val="00E060BC"/>
    <w:rsid w:val="00E07165"/>
    <w:rsid w:val="00E11420"/>
    <w:rsid w:val="00E132FB"/>
    <w:rsid w:val="00E13330"/>
    <w:rsid w:val="00E170B7"/>
    <w:rsid w:val="00E177DD"/>
    <w:rsid w:val="00E20900"/>
    <w:rsid w:val="00E20C7F"/>
    <w:rsid w:val="00E2396E"/>
    <w:rsid w:val="00E24728"/>
    <w:rsid w:val="00E276AC"/>
    <w:rsid w:val="00E27F29"/>
    <w:rsid w:val="00E34A35"/>
    <w:rsid w:val="00E37C2F"/>
    <w:rsid w:val="00E41C28"/>
    <w:rsid w:val="00E46308"/>
    <w:rsid w:val="00E51E17"/>
    <w:rsid w:val="00E52DAB"/>
    <w:rsid w:val="00E539B0"/>
    <w:rsid w:val="00E55994"/>
    <w:rsid w:val="00E60606"/>
    <w:rsid w:val="00E60C66"/>
    <w:rsid w:val="00E6164D"/>
    <w:rsid w:val="00E618C9"/>
    <w:rsid w:val="00E62774"/>
    <w:rsid w:val="00E6307C"/>
    <w:rsid w:val="00E636FA"/>
    <w:rsid w:val="00E66C50"/>
    <w:rsid w:val="00E679D3"/>
    <w:rsid w:val="00E71208"/>
    <w:rsid w:val="00E71444"/>
    <w:rsid w:val="00E71C91"/>
    <w:rsid w:val="00E720A1"/>
    <w:rsid w:val="00E75DDA"/>
    <w:rsid w:val="00E773E8"/>
    <w:rsid w:val="00E83ADD"/>
    <w:rsid w:val="00E84F38"/>
    <w:rsid w:val="00E85623"/>
    <w:rsid w:val="00E87441"/>
    <w:rsid w:val="00E91FAE"/>
    <w:rsid w:val="00E92E83"/>
    <w:rsid w:val="00E93899"/>
    <w:rsid w:val="00E96E3F"/>
    <w:rsid w:val="00EA270C"/>
    <w:rsid w:val="00EA4974"/>
    <w:rsid w:val="00EA532E"/>
    <w:rsid w:val="00EB06D9"/>
    <w:rsid w:val="00EB192B"/>
    <w:rsid w:val="00EB19ED"/>
    <w:rsid w:val="00EB1CAB"/>
    <w:rsid w:val="00EC0F5A"/>
    <w:rsid w:val="00EC1BDE"/>
    <w:rsid w:val="00EC4265"/>
    <w:rsid w:val="00EC4CEB"/>
    <w:rsid w:val="00EC659E"/>
    <w:rsid w:val="00ED2072"/>
    <w:rsid w:val="00ED2AE0"/>
    <w:rsid w:val="00ED5553"/>
    <w:rsid w:val="00ED5E36"/>
    <w:rsid w:val="00ED6961"/>
    <w:rsid w:val="00EE1E3F"/>
    <w:rsid w:val="00EF0B96"/>
    <w:rsid w:val="00EF3486"/>
    <w:rsid w:val="00EF47AF"/>
    <w:rsid w:val="00EF53B6"/>
    <w:rsid w:val="00EF649C"/>
    <w:rsid w:val="00F00B73"/>
    <w:rsid w:val="00F05990"/>
    <w:rsid w:val="00F115CA"/>
    <w:rsid w:val="00F14817"/>
    <w:rsid w:val="00F14EBA"/>
    <w:rsid w:val="00F1510F"/>
    <w:rsid w:val="00F1533A"/>
    <w:rsid w:val="00F15E5A"/>
    <w:rsid w:val="00F17F0A"/>
    <w:rsid w:val="00F2668F"/>
    <w:rsid w:val="00F2742F"/>
    <w:rsid w:val="00F2753B"/>
    <w:rsid w:val="00F33F8B"/>
    <w:rsid w:val="00F340B2"/>
    <w:rsid w:val="00F43390"/>
    <w:rsid w:val="00F443B2"/>
    <w:rsid w:val="00F458D8"/>
    <w:rsid w:val="00F50237"/>
    <w:rsid w:val="00F53596"/>
    <w:rsid w:val="00F55BA8"/>
    <w:rsid w:val="00F55DB1"/>
    <w:rsid w:val="00F56ACA"/>
    <w:rsid w:val="00F600FE"/>
    <w:rsid w:val="00F62E4D"/>
    <w:rsid w:val="00F66B34"/>
    <w:rsid w:val="00F675B9"/>
    <w:rsid w:val="00F711C9"/>
    <w:rsid w:val="00F74C59"/>
    <w:rsid w:val="00F75C3A"/>
    <w:rsid w:val="00F82E30"/>
    <w:rsid w:val="00F831CB"/>
    <w:rsid w:val="00F848A3"/>
    <w:rsid w:val="00F84ACF"/>
    <w:rsid w:val="00F85742"/>
    <w:rsid w:val="00F85BF8"/>
    <w:rsid w:val="00F871CE"/>
    <w:rsid w:val="00F87802"/>
    <w:rsid w:val="00F92C0A"/>
    <w:rsid w:val="00F9415B"/>
    <w:rsid w:val="00FA13C2"/>
    <w:rsid w:val="00FA7F91"/>
    <w:rsid w:val="00FB121C"/>
    <w:rsid w:val="00FB1CDD"/>
    <w:rsid w:val="00FB1FBF"/>
    <w:rsid w:val="00FB2C2F"/>
    <w:rsid w:val="00FB2F62"/>
    <w:rsid w:val="00FB305C"/>
    <w:rsid w:val="00FC2E3D"/>
    <w:rsid w:val="00FC3BDE"/>
    <w:rsid w:val="00FD1DBE"/>
    <w:rsid w:val="00FD25A7"/>
    <w:rsid w:val="00FD27B6"/>
    <w:rsid w:val="00FD3689"/>
    <w:rsid w:val="00FD42A3"/>
    <w:rsid w:val="00FD7468"/>
    <w:rsid w:val="00FD7CE0"/>
    <w:rsid w:val="00FE0B3B"/>
    <w:rsid w:val="00FE1BE2"/>
    <w:rsid w:val="00FE2DBE"/>
    <w:rsid w:val="00FE730A"/>
    <w:rsid w:val="00FF1DD7"/>
    <w:rsid w:val="00FF44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7D4A4C8"/>
  <w15:docId w15:val="{F966D3BD-FF26-4DA6-9E5E-B0B0FD4D1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" w:eastAsia="Times New Roman" w:hAnsi="Times" w:cs="Times New Roman"/>
        <w:sz w:val="24"/>
        <w:szCs w:val="24"/>
        <w:lang w:val="pl-PL" w:eastAsia="pl-PL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locked="1" w:qFormat="1"/>
    <w:lsdException w:name="annotation text" w:semiHidden="1" w:uiPriority="0"/>
    <w:lsdException w:name="index heading" w:semiHidden="1"/>
    <w:lsdException w:name="caption" w:semiHidden="1" w:unhideWhenUsed="1" w:qFormat="1"/>
    <w:lsdException w:name="table of figures" w:semiHidden="1"/>
    <w:lsdException w:name="envelope address" w:semiHidden="1"/>
    <w:lsdException w:name="envelope return" w:semiHidden="1"/>
    <w:lsdException w:name="annotation reference" w:semiHidden="1" w:uiPriority="0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/>
    <w:lsdException w:name="Closing" w:semiHidden="1"/>
    <w:lsdException w:name="Signature" w:semiHidden="1"/>
    <w:lsdException w:name="Default Paragraph Font" w:uiPriority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qFormat="1"/>
    <w:lsdException w:name="Emphasis" w:semiHidden="1"/>
    <w:lsdException w:name="Document Map" w:semiHidden="1"/>
    <w:lsdException w:name="Plain Text" w:semiHidden="1"/>
    <w:lsdException w:name="E-mail Signature" w:semiHidden="1"/>
    <w:lsdException w:name="HTML Top of Form" w:uiPriority="0"/>
    <w:lsdException w:name="HTML Bottom of Form" w:uiPriority="0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iPriority="0" w:unhideWhenUsed="1"/>
    <w:lsdException w:name="annotation subject" w:semiHidden="1" w:uiPriority="0"/>
    <w:lsdException w:name="Outline List 1" w:locked="1" w:uiPriority="0"/>
    <w:lsdException w:name="Outline List 2" w:locked="1" w:uiPriority="0"/>
    <w:lsdException w:name="Outline List 3" w:uiPriority="0"/>
    <w:lsdException w:name="Table Simple 1" w:locked="1" w:semiHidden="1" w:uiPriority="0" w:unhideWhenUsed="1"/>
    <w:lsdException w:name="Table Simple 2" w:locked="1" w:semiHidden="1" w:uiPriority="0" w:unhideWhenUsed="1"/>
    <w:lsdException w:name="Table Simple 3" w:locked="1" w:semiHidden="1" w:uiPriority="0" w:unhideWhenUsed="1"/>
    <w:lsdException w:name="Table Classic 1" w:locked="1" w:semiHidden="1" w:uiPriority="0" w:unhideWhenUsed="1"/>
    <w:lsdException w:name="Table Classic 2" w:locked="1" w:semiHidden="1" w:uiPriority="0" w:unhideWhenUsed="1"/>
    <w:lsdException w:name="Table Classic 3" w:locked="1" w:semiHidden="1" w:uiPriority="0" w:unhideWhenUsed="1"/>
    <w:lsdException w:name="Table Classic 4" w:locked="1" w:semiHidden="1" w:uiPriority="0" w:unhideWhenUsed="1"/>
    <w:lsdException w:name="Table Colorful 1" w:locked="1" w:semiHidden="1" w:uiPriority="0" w:unhideWhenUsed="1"/>
    <w:lsdException w:name="Table Colorful 2" w:locked="1" w:semiHidden="1" w:uiPriority="0" w:unhideWhenUsed="1"/>
    <w:lsdException w:name="Table Colorful 3" w:locked="1" w:semiHidden="1" w:uiPriority="0" w:unhideWhenUsed="1"/>
    <w:lsdException w:name="Table Columns 1" w:locked="1" w:semiHidden="1" w:uiPriority="0" w:unhideWhenUsed="1"/>
    <w:lsdException w:name="Table Columns 2" w:locked="1" w:semiHidden="1" w:uiPriority="0" w:unhideWhenUsed="1"/>
    <w:lsdException w:name="Table Columns 3" w:locked="1" w:semiHidden="1" w:uiPriority="0" w:unhideWhenUsed="1"/>
    <w:lsdException w:name="Table Columns 4" w:locked="1" w:semiHidden="1" w:uiPriority="0" w:unhideWhenUsed="1"/>
    <w:lsdException w:name="Table Columns 5" w:locked="1" w:semiHidden="1" w:uiPriority="0" w:unhideWhenUsed="1"/>
    <w:lsdException w:name="Table Grid 1" w:locked="1" w:semiHidden="1" w:uiPriority="0" w:unhideWhenUsed="1"/>
    <w:lsdException w:name="Table Grid 2" w:locked="1" w:semiHidden="1" w:uiPriority="0" w:unhideWhenUsed="1"/>
    <w:lsdException w:name="Table Grid 3" w:locked="1" w:semiHidden="1" w:uiPriority="0" w:unhideWhenUsed="1"/>
    <w:lsdException w:name="Table Grid 4" w:locked="1" w:semiHidden="1" w:uiPriority="0" w:unhideWhenUsed="1"/>
    <w:lsdException w:name="Table Grid 5" w:locked="1" w:semiHidden="1" w:uiPriority="0" w:unhideWhenUsed="1"/>
    <w:lsdException w:name="Table Grid 6" w:locked="1" w:semiHidden="1" w:uiPriority="0" w:unhideWhenUsed="1"/>
    <w:lsdException w:name="Table Grid 7" w:locked="1" w:semiHidden="1" w:uiPriority="0" w:unhideWhenUsed="1"/>
    <w:lsdException w:name="Table Grid 8" w:locked="1" w:semiHidden="1" w:uiPriority="0" w:unhideWhenUsed="1"/>
    <w:lsdException w:name="Table List 1" w:locked="1" w:semiHidden="1" w:uiPriority="0" w:unhideWhenUsed="1"/>
    <w:lsdException w:name="Table List 2" w:locked="1" w:semiHidden="1" w:uiPriority="0" w:unhideWhenUsed="1"/>
    <w:lsdException w:name="Table List 3" w:locked="1" w:semiHidden="1" w:uiPriority="0" w:unhideWhenUsed="1"/>
    <w:lsdException w:name="Table List 4" w:locked="1" w:semiHidden="1" w:uiPriority="0" w:unhideWhenUsed="1"/>
    <w:lsdException w:name="Table List 5" w:locked="1" w:semiHidden="1" w:uiPriority="0" w:unhideWhenUsed="1"/>
    <w:lsdException w:name="Table List 6" w:locked="1" w:semiHidden="1" w:uiPriority="0" w:unhideWhenUsed="1"/>
    <w:lsdException w:name="Table List 7" w:locked="1" w:semiHidden="1" w:uiPriority="0" w:unhideWhenUsed="1"/>
    <w:lsdException w:name="Table List 8" w:locked="1" w:semiHidden="1" w:uiPriority="0" w:unhideWhenUsed="1"/>
    <w:lsdException w:name="Table 3D effects 1" w:locked="1" w:semiHidden="1" w:uiPriority="0" w:unhideWhenUsed="1"/>
    <w:lsdException w:name="Table 3D effects 2" w:locked="1" w:semiHidden="1" w:uiPriority="0" w:unhideWhenUsed="1"/>
    <w:lsdException w:name="Table 3D effects 3" w:locked="1" w:semiHidden="1" w:uiPriority="0" w:unhideWhenUsed="1"/>
    <w:lsdException w:name="Table Contemporary" w:locked="1" w:semiHidden="1" w:uiPriority="0" w:unhideWhenUsed="1"/>
    <w:lsdException w:name="Table Elegant" w:locked="1" w:semiHidden="1" w:uiPriority="0" w:unhideWhenUsed="1"/>
    <w:lsdException w:name="Table Professional" w:locked="1" w:semiHidden="1" w:uiPriority="0" w:unhideWhenUsed="1"/>
    <w:lsdException w:name="Table Subtle 1" w:locked="1" w:semiHidden="1" w:uiPriority="0" w:unhideWhenUsed="1"/>
    <w:lsdException w:name="Table Subtle 2" w:locked="1" w:semiHidden="1" w:uiPriority="0" w:unhideWhenUsed="1"/>
    <w:lsdException w:name="Table Web 1" w:locked="1" w:semiHidden="1" w:uiPriority="0" w:unhideWhenUsed="1"/>
    <w:lsdException w:name="Table Web 2" w:locked="1" w:semiHidden="1" w:uiPriority="0" w:unhideWhenUsed="1"/>
    <w:lsdException w:name="Table Web 3" w:locked="1" w:semiHidden="1" w:uiPriority="0" w:unhideWhenUsed="1"/>
    <w:lsdException w:name="Table Grid" w:locked="1" w:uiPriority="0"/>
    <w:lsdException w:name="Table Theme" w:locked="1" w:semiHidden="1" w:uiPriority="0" w:unhideWhenUsed="1"/>
    <w:lsdException w:name="Placeholder Text" w:semiHidden="1"/>
    <w:lsdException w:name="No Spacing" w:uiPriority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semiHidden="1"/>
    <w:lsdException w:name="List Paragraph" w:semiHidden="1"/>
    <w:lsdException w:name="Quote" w:semiHidden="1" w:qFormat="1"/>
    <w:lsdException w:name="Intense Quote" w:semiHidden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semiHidden="1"/>
    <w:lsdException w:name="Intense Emphasis" w:semiHidden="1"/>
    <w:lsdException w:name="Subtle Reference" w:semiHidden="1"/>
    <w:lsdException w:name="Intense Reference" w:semiHidden="1"/>
    <w:lsdException w:name="Book Title" w:semiHidden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25A7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Arial"/>
      <w:szCs w:val="20"/>
    </w:rPr>
  </w:style>
  <w:style w:type="paragraph" w:styleId="Nagwek1">
    <w:name w:val="heading 1"/>
    <w:basedOn w:val="Normalny"/>
    <w:next w:val="Normalny"/>
    <w:link w:val="Nagwek1Znak"/>
    <w:uiPriority w:val="99"/>
    <w:semiHidden/>
    <w:rsid w:val="001E1E73"/>
    <w:pPr>
      <w:keepNext/>
      <w:keepLines/>
      <w:suppressAutoHyphens/>
      <w:autoSpaceDE/>
      <w:autoSpaceDN/>
      <w:adjustRightInd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6A748A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6A748A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6A748A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6A748A"/>
    <w:pPr>
      <w:ind w:left="1780"/>
    </w:pPr>
  </w:style>
  <w:style w:type="character" w:styleId="Odwoanieprzypisudolnego">
    <w:name w:val="footnote reference"/>
    <w:uiPriority w:val="99"/>
    <w:semiHidden/>
    <w:rsid w:val="004C3F97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eastAsia="Times New Roman" w:hAnsi="Times" w:cs="Times New Roman"/>
      <w:kern w:val="1"/>
      <w:szCs w:val="24"/>
      <w:lang w:eastAsia="ar-SA"/>
    </w:rPr>
  </w:style>
  <w:style w:type="character" w:customStyle="1" w:styleId="NagwekZnak">
    <w:name w:val="Nagłówek Znak"/>
    <w:link w:val="Nagwek"/>
    <w:uiPriority w:val="99"/>
    <w:semiHidden/>
    <w:rsid w:val="00060076"/>
    <w:rPr>
      <w:rFonts w:eastAsiaTheme="minorEastAsia" w:cs="Arial"/>
      <w:kern w:val="1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eastAsia="Times New Roman" w:hAnsi="Times" w:cs="Times New Roman"/>
      <w:kern w:val="1"/>
      <w:szCs w:val="24"/>
      <w:lang w:eastAsia="ar-SA"/>
    </w:rPr>
  </w:style>
  <w:style w:type="character" w:customStyle="1" w:styleId="StopkaZnak">
    <w:name w:val="Stopka Znak"/>
    <w:link w:val="Stopka"/>
    <w:uiPriority w:val="99"/>
    <w:semiHidden/>
    <w:rsid w:val="00060076"/>
    <w:rPr>
      <w:rFonts w:eastAsiaTheme="minorEastAsia" w:cs="Arial"/>
      <w:kern w:val="1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rsid w:val="004C3F97"/>
    <w:pPr>
      <w:suppressAutoHyphens/>
      <w:autoSpaceDE/>
      <w:autoSpaceDN/>
      <w:adjustRightInd/>
    </w:pPr>
    <w:rPr>
      <w:rFonts w:ascii="Tahoma" w:eastAsia="Times New Roman" w:hAnsi="Tahoma" w:cs="Tahoma"/>
      <w:kern w:val="1"/>
      <w:szCs w:val="16"/>
      <w:lang w:eastAsia="ar-SA"/>
    </w:rPr>
  </w:style>
  <w:style w:type="character" w:customStyle="1" w:styleId="TekstdymkaZnak">
    <w:name w:val="Tekst dymka Znak"/>
    <w:link w:val="Tekstdymka"/>
    <w:uiPriority w:val="99"/>
    <w:semiHidden/>
    <w:rsid w:val="004C3F97"/>
    <w:rPr>
      <w:rFonts w:ascii="Tahoma" w:eastAsiaTheme="minorEastAsia" w:hAnsi="Tahoma" w:cs="Tahoma"/>
      <w:kern w:val="1"/>
      <w:sz w:val="16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6A748A"/>
    <w:pPr>
      <w:suppressAutoHyphens/>
      <w:autoSpaceDE w:val="0"/>
      <w:autoSpaceDN w:val="0"/>
      <w:adjustRightInd w:val="0"/>
      <w:spacing w:before="120"/>
      <w:ind w:firstLine="510"/>
      <w:jc w:val="both"/>
    </w:pPr>
    <w:rPr>
      <w:rFonts w:eastAsiaTheme="minorEastAsia" w:cs="Arial"/>
      <w:szCs w:val="20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6A748A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6A748A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6A748A"/>
  </w:style>
  <w:style w:type="character" w:customStyle="1" w:styleId="Nagwek1Znak">
    <w:name w:val="Nagłówek 1 Znak"/>
    <w:basedOn w:val="Domylnaczcionkaakapitu"/>
    <w:link w:val="Nagwek1"/>
    <w:uiPriority w:val="99"/>
    <w:semiHidden/>
    <w:rsid w:val="004504C0"/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  <w:lang w:eastAsia="ar-SA"/>
    </w:rPr>
  </w:style>
  <w:style w:type="paragraph" w:styleId="Bezodstpw">
    <w:name w:val="No Spacing"/>
    <w:uiPriority w:val="99"/>
    <w:semiHidden/>
    <w:rsid w:val="004C3F97"/>
    <w:pPr>
      <w:widowControl w:val="0"/>
      <w:suppressAutoHyphens/>
    </w:pPr>
    <w:rPr>
      <w:kern w:val="1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6A748A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6A748A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6A748A"/>
    <w:pPr>
      <w:keepNext/>
      <w:suppressAutoHyphens/>
      <w:spacing w:before="120" w:after="120"/>
      <w:jc w:val="center"/>
    </w:pPr>
    <w:rPr>
      <w:rFonts w:eastAsiaTheme="minorEastAsia" w:cs="Arial"/>
      <w:bCs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6A748A"/>
    <w:pPr>
      <w:keepNext/>
      <w:suppressAutoHyphens/>
      <w:spacing w:before="120" w:after="360"/>
      <w:jc w:val="center"/>
    </w:pPr>
    <w:rPr>
      <w:rFonts w:eastAsiaTheme="minorEastAsia" w:cs="Arial"/>
      <w:b/>
      <w:bCs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6A748A"/>
    <w:pPr>
      <w:keepNext/>
      <w:suppressAutoHyphens/>
      <w:spacing w:before="120"/>
      <w:jc w:val="center"/>
    </w:pPr>
    <w:rPr>
      <w:b/>
      <w:bCs/>
      <w:caps/>
      <w:kern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6A748A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6A748A"/>
    <w:pPr>
      <w:keepNext/>
      <w:suppressAutoHyphens/>
      <w:spacing w:after="120"/>
      <w:jc w:val="center"/>
    </w:pPr>
    <w:rPr>
      <w:b/>
      <w:bCs/>
      <w:caps/>
      <w:spacing w:val="54"/>
      <w:kern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6A748A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5147E8"/>
    <w:pPr>
      <w:ind w:left="510" w:hanging="510"/>
      <w:jc w:val="both"/>
    </w:pPr>
    <w:rPr>
      <w:rFonts w:eastAsiaTheme="minorEastAsia" w:cs="Arial"/>
      <w:bCs/>
      <w:szCs w:val="20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6A748A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5147E8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6A748A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5147E8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6A748A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6A748A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6A748A"/>
    <w:pPr>
      <w:keepNext/>
      <w:suppressAutoHyphens/>
      <w:spacing w:before="120"/>
      <w:jc w:val="center"/>
    </w:pPr>
    <w:rPr>
      <w:rFonts w:eastAsiaTheme="minorEastAsia"/>
      <w:b/>
      <w:bCs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6A748A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6A748A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6A748A"/>
    <w:pPr>
      <w:ind w:left="1860"/>
    </w:pPr>
  </w:style>
  <w:style w:type="paragraph" w:customStyle="1" w:styleId="TYTDZOZNoznaczenietytuulubdziau">
    <w:name w:val="TYT(DZ)_OZN – oznaczenie tytułu lub działu"/>
    <w:next w:val="Normalny"/>
    <w:uiPriority w:val="9"/>
    <w:qFormat/>
    <w:rsid w:val="006A748A"/>
    <w:pPr>
      <w:keepNext/>
      <w:spacing w:before="120"/>
      <w:jc w:val="center"/>
    </w:pPr>
    <w:rPr>
      <w:rFonts w:eastAsiaTheme="minorEastAsia" w:cs="Arial"/>
      <w:bCs/>
      <w:caps/>
      <w:kern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1270A2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6A748A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6A748A"/>
    <w:pPr>
      <w:keepNext/>
      <w:suppressAutoHyphens/>
      <w:ind w:left="510"/>
      <w:jc w:val="center"/>
    </w:pPr>
    <w:rPr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6A748A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6A748A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6A748A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6A748A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6A748A"/>
    <w:pPr>
      <w:keepNext/>
      <w:suppressAutoHyphens/>
      <w:ind w:left="510"/>
      <w:jc w:val="center"/>
    </w:pPr>
    <w:rPr>
      <w:rFonts w:eastAsiaTheme="minorEastAsia" w:cs="Arial"/>
      <w:bCs/>
      <w:kern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6A748A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6A748A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6A748A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6A748A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6A748A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6A748A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6A748A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6A748A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6A748A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6A748A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6A748A"/>
    <w:pPr>
      <w:ind w:left="1973"/>
    </w:pPr>
  </w:style>
  <w:style w:type="paragraph" w:styleId="Tekstprzypisudolnego">
    <w:name w:val="footnote text"/>
    <w:basedOn w:val="Normalny"/>
    <w:link w:val="TekstprzypisudolnegoZnak"/>
    <w:uiPriority w:val="99"/>
    <w:semiHidden/>
    <w:qFormat/>
    <w:locked/>
    <w:rsid w:val="00295A6F"/>
    <w:rPr>
      <w:rFonts w:ascii="Times" w:eastAsia="Times New Roman" w:hAnsi="Times" w:cs="Times New Roman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E0FCC"/>
    <w:rPr>
      <w:sz w:val="20"/>
    </w:rPr>
  </w:style>
  <w:style w:type="paragraph" w:customStyle="1" w:styleId="ZTIRLITzmlittiret">
    <w:name w:val="Z_TIR/LIT – zm. lit. tiret"/>
    <w:basedOn w:val="LITlitera"/>
    <w:uiPriority w:val="57"/>
    <w:qFormat/>
    <w:rsid w:val="006A748A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6A748A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6A748A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6A748A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6A748A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6A748A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6A748A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6A748A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6A748A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6A748A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6A748A"/>
  </w:style>
  <w:style w:type="paragraph" w:customStyle="1" w:styleId="ZTIR2TIRzmpodwtirtiret">
    <w:name w:val="Z_TIR/2TIR – zm. podw. tir. tiret"/>
    <w:basedOn w:val="TIRtiret"/>
    <w:uiPriority w:val="78"/>
    <w:qFormat/>
    <w:rsid w:val="006A748A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6A748A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6A748A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6A748A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6A748A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6A748A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6A748A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6A748A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6A748A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6A748A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6A748A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6A748A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6A748A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6A748A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6A748A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6A748A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6A748A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6A748A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6A748A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6A748A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6A748A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6A748A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7B38"/>
    <w:pPr>
      <w:spacing w:after="120"/>
      <w:ind w:left="510"/>
    </w:pPr>
    <w:rPr>
      <w:b w:val="0"/>
    </w:rPr>
  </w:style>
  <w:style w:type="character" w:styleId="Odwoaniedokomentarza">
    <w:name w:val="annotation reference"/>
    <w:basedOn w:val="Domylnaczcionkaakapitu"/>
    <w:uiPriority w:val="99"/>
    <w:semiHidden/>
    <w:rsid w:val="00023F1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023F13"/>
    <w:rPr>
      <w:rFonts w:ascii="Times" w:eastAsia="Times New Roman" w:hAnsi="Times" w:cs="Times New Roman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504C0"/>
    <w:rPr>
      <w:sz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023F1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504C0"/>
    <w:rPr>
      <w:b/>
      <w:bCs/>
      <w:sz w:val="2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6A748A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6A748A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6A748A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6A748A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1270A2"/>
    <w:pPr>
      <w:ind w:left="2404"/>
    </w:pPr>
  </w:style>
  <w:style w:type="paragraph" w:customStyle="1" w:styleId="ODNONIKtreodnonika">
    <w:name w:val="ODNOŚNIK – treść odnośnika"/>
    <w:uiPriority w:val="19"/>
    <w:qFormat/>
    <w:rsid w:val="006A748A"/>
    <w:pPr>
      <w:spacing w:line="240" w:lineRule="auto"/>
      <w:ind w:left="284" w:hanging="284"/>
      <w:jc w:val="both"/>
    </w:pPr>
    <w:rPr>
      <w:rFonts w:ascii="Times New Roman" w:eastAsiaTheme="minorEastAsia" w:hAnsi="Times New Roman" w:cs="Arial"/>
      <w:sz w:val="20"/>
      <w:szCs w:val="20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6A748A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6A748A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6A748A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6A748A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6A748A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6A748A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6A748A"/>
    <w:pPr>
      <w:keepNext/>
      <w:suppressAutoHyphens/>
      <w:spacing w:before="120"/>
      <w:jc w:val="center"/>
    </w:pPr>
    <w:rPr>
      <w:rFonts w:eastAsiaTheme="minorEastAsia" w:cs="Arial"/>
      <w:bCs/>
      <w:kern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6A748A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6A748A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6A748A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6A748A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6A748A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6A748A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6A748A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6A748A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6A748A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6A748A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6A748A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6A748A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6A748A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6A748A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6A748A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6A748A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6A748A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6A748A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6A748A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6A748A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6A748A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6A748A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6A748A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6A748A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6A748A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6A748A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6A748A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6A748A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6A748A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6A748A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6A748A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6A748A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6A748A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6A748A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6A748A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6A748A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6A748A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6A748A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6A748A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6A748A"/>
  </w:style>
  <w:style w:type="paragraph" w:customStyle="1" w:styleId="ZZUSTzmianazmust">
    <w:name w:val="ZZ/UST(§) – zmiana zm. ust. (§)"/>
    <w:basedOn w:val="ZZARTzmianazmart"/>
    <w:uiPriority w:val="65"/>
    <w:qFormat/>
    <w:rsid w:val="006A748A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6A748A"/>
    <w:pPr>
      <w:keepNext/>
      <w:suppressAutoHyphens/>
      <w:spacing w:before="120"/>
      <w:jc w:val="center"/>
    </w:pPr>
    <w:rPr>
      <w:b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6A748A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6A748A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6A748A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6A748A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6A748A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6A748A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6A748A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ny"/>
    <w:uiPriority w:val="25"/>
    <w:qFormat/>
    <w:rsid w:val="006A748A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6A748A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6A748A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ny"/>
    <w:uiPriority w:val="25"/>
    <w:qFormat/>
    <w:rsid w:val="006A748A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6A748A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6A748A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6A748A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6A748A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6A748A"/>
    <w:pPr>
      <w:jc w:val="right"/>
    </w:pPr>
    <w:rPr>
      <w:rFonts w:ascii="Times New Roman" w:eastAsiaTheme="minorEastAsia" w:hAnsi="Times New Roman" w:cs="Arial"/>
      <w:szCs w:val="20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6A748A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6A748A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6A748A"/>
    <w:rPr>
      <w:rFonts w:ascii="Times New Roman" w:eastAsiaTheme="minorEastAsia" w:hAnsi="Times New Roman" w:cs="Arial"/>
      <w:b/>
      <w:szCs w:val="20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6A748A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6A748A"/>
    <w:pPr>
      <w:ind w:left="510" w:firstLine="0"/>
    </w:pPr>
  </w:style>
  <w:style w:type="paragraph" w:customStyle="1" w:styleId="NOTATKILEGISLATORA">
    <w:name w:val="NOTATKI_LEGISLATORA"/>
    <w:basedOn w:val="Normalny"/>
    <w:uiPriority w:val="5"/>
    <w:qFormat/>
    <w:rsid w:val="006A748A"/>
    <w:rPr>
      <w:b/>
      <w:i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6A748A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6A748A"/>
  </w:style>
  <w:style w:type="paragraph" w:customStyle="1" w:styleId="TEKSTZacznikido">
    <w:name w:val="TEKST&quot;Załącznik(i) do ...&quot;"/>
    <w:uiPriority w:val="28"/>
    <w:qFormat/>
    <w:rsid w:val="00A56F07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Cs w:val="20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6A748A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6A748A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6A748A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6A748A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6A748A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ED2AE0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6A748A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6A748A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6A748A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6A748A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6A748A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6A748A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6A748A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6A748A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6A748A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6A748A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6A748A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6A748A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6A748A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6A748A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6A748A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6A748A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6A748A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6A748A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6A748A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6A748A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6A748A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6A748A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6A748A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6A748A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6A748A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6A748A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6A748A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6A748A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6A748A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6A748A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6A748A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6A748A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6A748A"/>
    <w:pPr>
      <w:ind w:left="1780"/>
    </w:pPr>
  </w:style>
  <w:style w:type="character" w:customStyle="1" w:styleId="IGindeksgrny">
    <w:name w:val="_IG_ – indeks górny"/>
    <w:basedOn w:val="Domylnaczcionkaakapitu"/>
    <w:uiPriority w:val="2"/>
    <w:qFormat/>
    <w:rsid w:val="00A12520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basedOn w:val="Domylnaczcionkaakapitu"/>
    <w:uiPriority w:val="3"/>
    <w:qFormat/>
    <w:rsid w:val="00591124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basedOn w:val="Domylnaczcionkaakapitu"/>
    <w:uiPriority w:val="3"/>
    <w:qFormat/>
    <w:rsid w:val="00591124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basedOn w:val="Domylnaczcionkaakapitu"/>
    <w:uiPriority w:val="3"/>
    <w:qFormat/>
    <w:rsid w:val="00591124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basedOn w:val="Domylnaczcionkaakapitu"/>
    <w:uiPriority w:val="2"/>
    <w:qFormat/>
    <w:rsid w:val="00A12520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basedOn w:val="Domylnaczcionkaakapitu"/>
    <w:uiPriority w:val="2"/>
    <w:qFormat/>
    <w:rsid w:val="00A12520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basedOn w:val="Domylnaczcionkaakapitu"/>
    <w:uiPriority w:val="2"/>
    <w:qFormat/>
    <w:rsid w:val="00591124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basedOn w:val="Domylnaczcionkaakapitu"/>
    <w:uiPriority w:val="3"/>
    <w:qFormat/>
    <w:rsid w:val="00591124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basedOn w:val="Domylnaczcionkaakapitu"/>
    <w:uiPriority w:val="1"/>
    <w:qFormat/>
    <w:rsid w:val="006A748A"/>
    <w:rPr>
      <w:b/>
    </w:rPr>
  </w:style>
  <w:style w:type="character" w:customStyle="1" w:styleId="Kkursywa">
    <w:name w:val="_K_ – kursywa"/>
    <w:basedOn w:val="Domylnaczcionkaakapitu"/>
    <w:uiPriority w:val="1"/>
    <w:qFormat/>
    <w:rsid w:val="006A748A"/>
    <w:rPr>
      <w:i/>
    </w:rPr>
  </w:style>
  <w:style w:type="character" w:customStyle="1" w:styleId="PKpogrubieniekursywa">
    <w:name w:val="_P_K_ – pogrubienie kursywa"/>
    <w:basedOn w:val="Domylnaczcionkaakapitu"/>
    <w:uiPriority w:val="1"/>
    <w:qFormat/>
    <w:rsid w:val="006A748A"/>
    <w:rPr>
      <w:b/>
      <w:i/>
    </w:rPr>
  </w:style>
  <w:style w:type="character" w:customStyle="1" w:styleId="TEKSTOZNACZONYWDOKUMENCIERDOWYMJAKOUKRYTY">
    <w:name w:val="_TEKST_OZNACZONY_W_DOKUMENCIE_ŹRÓDŁOWYM_JAKO_UKRYTY_"/>
    <w:basedOn w:val="Domylnaczcionkaakapitu"/>
    <w:uiPriority w:val="4"/>
    <w:unhideWhenUsed/>
    <w:qFormat/>
    <w:rsid w:val="009D55AA"/>
    <w:rPr>
      <w:vanish w:val="0"/>
      <w:color w:val="FF0000"/>
      <w:u w:val="single" w:color="FF0000"/>
    </w:rPr>
  </w:style>
  <w:style w:type="character" w:customStyle="1" w:styleId="BEZWERSALIKW">
    <w:name w:val="_BEZ_WERSALIKÓW_"/>
    <w:basedOn w:val="Domylnaczcionkaakapitu"/>
    <w:uiPriority w:val="4"/>
    <w:qFormat/>
    <w:rsid w:val="00390E89"/>
    <w:rPr>
      <w:caps/>
    </w:rPr>
  </w:style>
  <w:style w:type="character" w:customStyle="1" w:styleId="IIGPindeksgrnyindeksugrnegoipogrubienie">
    <w:name w:val="_IIG_P_ – indeks górny indeksu górnego i pogrubienie"/>
    <w:basedOn w:val="Domylnaczcionkaakapitu"/>
    <w:uiPriority w:val="3"/>
    <w:qFormat/>
    <w:rsid w:val="00A12520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basedOn w:val="IIGPindeksgrnyindeksugrnegoipogrubienie"/>
    <w:uiPriority w:val="3"/>
    <w:qFormat/>
    <w:rsid w:val="003602AE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ny"/>
    <w:uiPriority w:val="19"/>
    <w:qFormat/>
    <w:rsid w:val="00263522"/>
    <w:pPr>
      <w:widowControl/>
      <w:autoSpaceDE/>
      <w:autoSpaceDN/>
      <w:adjustRightInd/>
      <w:spacing w:line="240" w:lineRule="auto"/>
      <w:ind w:left="283" w:hanging="170"/>
    </w:pPr>
    <w:rPr>
      <w:sz w:val="20"/>
    </w:rPr>
  </w:style>
  <w:style w:type="paragraph" w:customStyle="1" w:styleId="TEKSTwTABELItekstzwcitympierwwierszem">
    <w:name w:val="TEKST_w_TABELI – tekst z wciętym pierw. wierszem"/>
    <w:basedOn w:val="Normalny"/>
    <w:uiPriority w:val="23"/>
    <w:qFormat/>
    <w:rsid w:val="007A789F"/>
    <w:pPr>
      <w:widowControl/>
      <w:suppressAutoHyphens/>
      <w:ind w:firstLine="510"/>
    </w:pPr>
    <w:rPr>
      <w:rFonts w:ascii="Times" w:hAnsi="Times"/>
      <w:bCs/>
      <w:kern w:val="24"/>
    </w:rPr>
  </w:style>
  <w:style w:type="paragraph" w:customStyle="1" w:styleId="TEKSTwTABELIWYRODKOWANYtekstwyrodkowanywpoziomie">
    <w:name w:val="TEKST_w_TABELI_WYŚRODKOWANY – tekst wyśrodkowany w poziomie"/>
    <w:basedOn w:val="Normalny"/>
    <w:uiPriority w:val="23"/>
    <w:qFormat/>
    <w:rsid w:val="007A789F"/>
    <w:pPr>
      <w:widowControl/>
      <w:suppressAutoHyphens/>
      <w:jc w:val="center"/>
    </w:pPr>
    <w:rPr>
      <w:rFonts w:ascii="Times" w:hAnsi="Times"/>
      <w:bCs/>
      <w:kern w:val="24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1270A2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1270A2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1270A2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1270A2"/>
    <w:pPr>
      <w:jc w:val="center"/>
    </w:pPr>
    <w:rPr>
      <w:rFonts w:ascii="Times New Roman" w:eastAsiaTheme="minorEastAsia" w:hAnsi="Times New Roman" w:cs="Arial"/>
      <w:szCs w:val="20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1270A2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1270A2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1270A2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7575D2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7575D2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7575D2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7575D2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7575D2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A65B41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2D4D30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2D4D30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A65B41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A65B41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A824DD"/>
    <w:pPr>
      <w:ind w:left="1780"/>
    </w:pPr>
  </w:style>
  <w:style w:type="table" w:styleId="Tabela-Siatka">
    <w:name w:val="Table Grid"/>
    <w:basedOn w:val="Standardowy"/>
    <w:locked/>
    <w:rsid w:val="001952B1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Elegancki">
    <w:name w:val="Table Elegant"/>
    <w:basedOn w:val="Standardowy"/>
    <w:locked/>
    <w:rsid w:val="001952B1"/>
    <w:pPr>
      <w:widowControl w:val="0"/>
      <w:autoSpaceDE w:val="0"/>
      <w:autoSpaceDN w:val="0"/>
      <w:adjustRightInd w:val="0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2zszablonu">
    <w:name w:val="TABELA 2 z szablonu"/>
    <w:basedOn w:val="Tabela-Elegancki"/>
    <w:uiPriority w:val="99"/>
    <w:rsid w:val="000319C1"/>
    <w:pPr>
      <w:spacing w:line="240" w:lineRule="auto"/>
      <w:jc w:val="left"/>
    </w:pPr>
    <w:tblPr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none" w:sz="0" w:space="0" w:color="auto"/>
        <w:insideV w:val="none" w:sz="0" w:space="0" w:color="auto"/>
      </w:tblBorders>
    </w:tblPr>
    <w:trPr>
      <w:jc w:val="center"/>
    </w:tr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ela-Siatka"/>
    <w:uiPriority w:val="99"/>
    <w:rsid w:val="001329AC"/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</w:tblPr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1329AC"/>
    <w:tblPr/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Tekstzastpczy">
    <w:name w:val="Placeholder Text"/>
    <w:basedOn w:val="Domylnaczcionkaakapitu"/>
    <w:uiPriority w:val="99"/>
    <w:semiHidden/>
    <w:rsid w:val="00341A6A"/>
    <w:rPr>
      <w:color w:val="808080"/>
    </w:rPr>
  </w:style>
  <w:style w:type="paragraph" w:styleId="Poprawka">
    <w:name w:val="Revision"/>
    <w:hidden/>
    <w:uiPriority w:val="99"/>
    <w:semiHidden/>
    <w:rsid w:val="009B403C"/>
    <w:pPr>
      <w:spacing w:line="240" w:lineRule="auto"/>
    </w:pPr>
    <w:rPr>
      <w:rFonts w:ascii="Times New Roman" w:eastAsiaTheme="minorEastAsia" w:hAnsi="Times New Roman" w:cs="Arial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iotr.perczynski2\AppData\Roaming\Microsoft\Templates\Szablon%20aktu%20prawnego%204_0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&lt;data wydania aktu&gt;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1047E36-43CD-4CD4-B6A6-DE01A0EE6B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aktu prawnego 4_0</Template>
  <TotalTime>6</TotalTime>
  <Pages>14</Pages>
  <Words>3985</Words>
  <Characters>23916</Characters>
  <Application>Microsoft Office Word</Application>
  <DocSecurity>0</DocSecurity>
  <Lines>199</Lines>
  <Paragraphs>55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Akt prawny</vt:lpstr>
      <vt:lpstr>p r o j e k t</vt:lpstr>
    </vt:vector>
  </TitlesOfParts>
  <Manager/>
  <Company>&lt;nazwa organu&gt;</Company>
  <LinksUpToDate>false</LinksUpToDate>
  <CharactersWithSpaces>27846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Akt prawny</dc:title>
  <dc:subject/>
  <dc:creator>Malec Jakub  (DPE)</dc:creator>
  <cp:lastModifiedBy>Perczyński Piotr  (DL)</cp:lastModifiedBy>
  <cp:revision>6</cp:revision>
  <cp:lastPrinted>2012-04-23T06:39:00Z</cp:lastPrinted>
  <dcterms:created xsi:type="dcterms:W3CDTF">2026-03-29T21:15:00Z</dcterms:created>
  <dcterms:modified xsi:type="dcterms:W3CDTF">2026-03-30T14:48:00Z</dcterms:modified>
  <cp:category>000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a wydania obwieszczenia">
    <vt:lpwstr>&lt;data wydania obwieszczenia&gt;</vt:lpwstr>
  </property>
  <property fmtid="{D5CDD505-2E9C-101B-9397-08002B2CF9AE}" pid="3" name="Data ogłoszenia">
    <vt:lpwstr>&lt;data ogłoszenia&gt;</vt:lpwstr>
  </property>
</Properties>
</file>